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WuSolvV — KSA-Risikogewicht für überfällige 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KSA-Risikogewicht für eine KSA-Position der KSA-Forderungsklasse überfällige Positionen beträgt 150 Prozent soweit nicht in Absatz 2 etwas anderes geregelt ist.</w:t>
      </w:r>
    </w:p>
    <w:p>
      <w:r>
        <w:t xml:space="preserve">(2) Das KSA-Risikogewicht einer Position der Forderungsklasse überfällige Positionen beträgt 100 Prozent, wenn die Einzelwertberichtigungen für diese Position mindestens 25 Prozent des unbesicherten Teils der KSA-Bemessungsgrundlage nach § 36 dieser Position betragen.</w:t>
      </w:r>
    </w:p>
    <w:p>
      <w:r>
        <w:rPr>
          <w:color w:val="555555"/>
          <w:sz w:val="17"/>
        </w:rPr>
        <w:t xml:space="preserve">Zitiervorschlag: § 29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