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WuSolvV — KSA-Risikogewicht für sonstige 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KSA-Risikogewicht für eine KSA-Position der KSA-Forderungsklasse sonstige Positionen beträgt 0 Prozent für Barrengold im Besitz des Wohnungsunternehmens mit Spareinrichtung, für Zertifikate, die anteilmäßiges Eigentum an Barrengold verkörpern, soweit ihnen entsprechende Goldverbindlichkeiten gegenüberstehen, sowie für den Kassenbestand und gleichwertige Positionen.</w:t>
      </w:r>
    </w:p>
    <w:p>
      <w:r>
        <w:t xml:space="preserve">(2) Abweichend von Absatz 1 beträgt das KSA-Risikogewicht 20 Prozent für im Einzug befindliche Werte, für die entsprechende Zahlungen bereits bevorschusst wurden.</w:t>
      </w:r>
    </w:p>
    <w:p>
      <w:r>
        <w:t xml:space="preserve">(3) Abweichend von Absatz 1 beträgt das KSA-Risikogewicht 100 Prozent für</w:t>
      </w:r>
    </w:p>
    <w:p>
      <w:pPr>
        <w:ind w:left="420"/>
      </w:pPr>
      <w:r>
        <w:t xml:space="preserve">1. Sachanlagen,</w:t>
      </w:r>
    </w:p>
    <w:p>
      <w:pPr>
        <w:ind w:left="420"/>
      </w:pPr>
      <w:r>
        <w:t xml:space="preserve">2. aktivische Rechnungsabgrenzungsposten, für die das Wohnungsunternehmen mit Spareinrichtung keinen Schuldner ermitteln kann,</w:t>
      </w:r>
    </w:p>
    <w:p>
      <w:pPr>
        <w:ind w:left="420"/>
      </w:pPr>
      <w:r>
        <w:t xml:space="preserve">3. einen nach § 16 Absatz 14 Nummer 6 zu berücksichtigenden Restwert eines Leasinggegenstands und</w:t>
      </w:r>
    </w:p>
    <w:p>
      <w:pPr>
        <w:ind w:left="420"/>
      </w:pPr>
      <w:r>
        <w:t xml:space="preserve">4. Beteiligungen an Anbietern von Nebendienstleistungen, die das Wohnungsunternehmen mit Spareinrichtung nicht der KSA-Forderungsklasse Beteiligungen zugeordnet hat.</w:t>
      </w:r>
    </w:p>
    <w:p>
      <w:r>
        <w:t xml:space="preserve">(4) Abweichend von Absatz 1 gilt für ein Kreditderivat nach § 16 Absatz 14 Nummer 5, dass das KSA-Risikogewicht als Summe der KSA-Risikogewichte sämtlicher Adressen, welche in dem Korb des Kreditderivats enthalten sind, bis zu einer Höchstgrenze von 1 250 Prozent zu ermitteln ist, wobei bei der Addition die KSA-Risikogewichte der n-1-Adressen mit den niedrigsten risikogewichteten KSA-Positionswerten auszunehmen sind.</w:t>
      </w:r>
    </w:p>
    <w:p>
      <w:r>
        <w:rPr>
          <w:color w:val="555555"/>
          <w:sz w:val="17"/>
        </w:rPr>
        <w:t xml:space="preserve">Zitiervorschlag: § 28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