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WuSolvV — KSA-Risikogewicht für Institute</w:t>
      </w:r>
    </w:p>
    <w:p>
      <w:r>
        <w:rPr>
          <w:color w:val="555555"/>
          <w:sz w:val="18"/>
        </w:rPr>
        <w:t xml:space="preserve">Wohnungsunternehmen-Solvabilitätsverordnung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KSA-Risikogewicht für eine KSA-Position der KSA-Forderungsklasse Institute beträgt 100 Prozent, soweit in den Absätzen 2 bis 6 nichts anderes geregelt ist.</w:t>
      </w:r>
    </w:p>
    <w:p>
      <w:r>
        <w:t xml:space="preserve">(2) Handelt es sich um eine KSA-Position, deren Erfüllung von einem solchen nicht wettbewerblich tätigen Förderinstitut mit Sitz in Deutschland geschuldet wird, das ausschließlich von einer oder mehreren der in § 18 Absatz 2 Nummer 1 genannten Gebietskörperschaften getragen wird und dessen von ihm geschuldete Zahlungsverpflichtungen über eine der ausdrücklichen Garantie gleichstehende Haftungserklärung eines oder mehrerer seiner Träger verfügen, erhält diese das KSA-Risikogewicht ihrer Träger.</w:t>
      </w:r>
    </w:p>
    <w:p>
      <w:r>
        <w:t xml:space="preserve">(3) Liegt für die Zentralregierung des Sitzstaates des Instituts eine verwendungsfähige Länderklassifizierung einer Exportversicherungsagentur nach § 31 vor und sind die Verwendungsvoraussetzungen zur Nutzung von Länderklassifizierungen für aufsichtliche Zwecke nach § 32 erfüllt, ermittelt sich das KSA-Risikogewicht vorbehaltlich der Absätze 4 bis 6 in Abhängigkeit von der Länderklassifizierung der Zentralregierung des Sitzstaates und den in der OECD-Vereinbarung genannten Mindestprämienkategorien für Exportversicherungen nach Tabelle 4 der Anlage 1.</w:t>
      </w:r>
    </w:p>
    <w:p>
      <w:r>
        <w:t xml:space="preserve">(4) Handelt es sich um eine KSA-Position, die bei einem Institut dem Eigenkapital zugerechnet wird, beträgt das KSA-Risikogewicht 100 Prozent.</w:t>
      </w:r>
    </w:p>
    <w:p>
      <w:r>
        <w:t xml:space="preserve">(5) Handelt es sich um eine KSA-Position, die eine Restlaufzeit von nicht mehr als drei Monaten aufweist und die in der Landeswährung des Schuldners geschuldet und refinanziert ist, darf vorbehaltlich der Absätze 4 und 6 das um eine Stufe erhöhte KSA-Risikogewicht nach § 17 Absatz 3 oder 5 für die Zentralregierung des Sitzlandes des Schuldners verwendet werden.</w:t>
      </w:r>
    </w:p>
    <w:p>
      <w:r>
        <w:t xml:space="preserve">(6) Handelt es sich um eine KSA-Position, die eine Ursprungslaufzeit von nicht mehr als drei Monaten aufweist, beträgt das KSA-Risikogewicht 20 Prozent.</w:t>
      </w:r>
    </w:p>
    <w:p>
      <w:r>
        <w:rPr>
          <w:color w:val="555555"/>
          <w:sz w:val="17"/>
        </w:rPr>
        <w:t xml:space="preserve">Zitiervorschlag: § 22 WuSolvV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https://recht.nulegal.eu/gesetze/WuSolvV/22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