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WuSolvV — KSA-Risikogewicht für multilaterale Entwicklungsbanken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KSA-Risikogewicht für eine KSA-Position der KSA-Forderungsklasse multilaterale Entwicklungsbanken beträgt 50 Prozent, soweit in den Absätzen 2 und 3 nichts anderes geregelt ist.</w:t>
      </w:r>
    </w:p>
    <w:p>
      <w:r>
        <w:t xml:space="preserve">(2) Wird ihre Erfüllung von einer der in Artikel 117 Absatz 2 der Verordnung (EU) Nr. 575/2013 genannten Entwicklungsbanken geschuldet, beträgt das KSA-Risikogewicht 0 Prozent.</w:t>
      </w:r>
    </w:p>
    <w:p>
      <w:r>
        <w:t xml:space="preserve">(3) Für noch nicht voll eingezahlte Kapitalanteile an der multilateralen Entwicklungsbank nach Artikel 117 Absatz 2 Buchstabe k der Verordnung (EU) Nr. 575/2013 beträgt das KSA-Risikogewicht 20 Prozent.</w:t>
      </w:r>
    </w:p>
    <w:p>
      <w:r>
        <w:rPr>
          <w:color w:val="555555"/>
          <w:sz w:val="17"/>
        </w:rPr>
        <w:t xml:space="preserve">Zitiervorschlag: § 20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