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WuSolvV — Ermittlung der risikogewichteten KSA-Positionswerte für Adressenausfallrisikopositionen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der risikogewichteten KSA-Positionswerte muss ein Wohnungsunternehmen mit Spareinrichtung sämtliche Adressenausfallrisikopositionen nach § 7 den KSA-Forderungsklassen nach § 16 zuordnen.</w:t>
      </w:r>
    </w:p>
    <w:p>
      <w:r>
        <w:t xml:space="preserve">(2) Für jede KSA-Position, die keine Verbriefungsposition ist, ist ihr risikogewichteter KSA-Positionswert als das Produkt aus ihrem nach den §§ 17 bis 34 zu ermittelnden KSA-Risikogewicht und ihrem nach § 35 zu ermittelnden KSA-Positionswert zu bestimmen. Abweichend von Satz 1 ist für eine Vorleistungsrisikoposition, solange die Gegenleistung fünf Geschäftstage nach deren Fälligkeit noch nicht wirksam erbracht worden ist, ihr risikogewichteter KSA-Positionswert als das Produkt aus einem KSA-Risikogewicht von 1 250 Prozent und ihrem nach § 35 zu ermittelnden KSA-Positionswert zu bestimmen.</w:t>
      </w:r>
    </w:p>
    <w:p>
      <w:r>
        <w:t xml:space="preserve">(3) Für jede Verbriefungsposition ist ihr risikogewichteter KSA-Positionswert nach den §§ 53 bis 57 zu ermitteln.</w:t>
      </w:r>
    </w:p>
    <w:p>
      <w:r>
        <w:rPr>
          <w:color w:val="555555"/>
          <w:sz w:val="17"/>
        </w:rPr>
        <w:t xml:space="preserve">Zitiervorschlag: § 14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