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WuSolvV — Ermittlung des Gesamtanrechnungsbetrags für Adressrisiken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Gesamtanrechnungsbetrag für Adressrisiken wird ermittelt, indem aus der Gesamtheit der Adressrisikopositionen mit Ausnahme der Abwicklungsrisikopositionen die Adressenausfallrisikopositionen bestimmt und diese nach dem Kreditrisiko-Standardansatz (KSA) berücksichtigt werden.</w:t>
      </w:r>
    </w:p>
    <w:p>
      <w:r>
        <w:t xml:space="preserve">(2) Der Gesamtanrechnungsbetrag für Adressrisiken ist 8 Prozent der Summe aus</w:t>
      </w:r>
    </w:p>
    <w:p>
      <w:pPr>
        <w:ind w:left="420"/>
      </w:pPr>
      <w:r>
        <w:t xml:space="preserve">1. den für alle Adressenausfallrisikopositionen, die keine Verbriefungspositionen sind, nach § 14 Absatz 2 ermittelten risikogewichteten KSA-Positionswerten und</w:t>
      </w:r>
    </w:p>
    <w:p>
      <w:pPr>
        <w:ind w:left="420"/>
      </w:pPr>
      <w:r>
        <w:t xml:space="preserve">2. den nach § 14 Absatz 3 ermittelten risikogewichteten KSA-Positionswerten für Verbriefungspositionen.</w:t>
      </w:r>
    </w:p>
    <w:p>
      <w:r>
        <w:t xml:space="preserve">(3) Der Gesamtanrechnungsbetrag für Adressrisiken erhöht sich um den Gesamtanrechnungsbetrag für Abwicklungsrisiken nach § 15.</w:t>
      </w:r>
    </w:p>
    <w:p>
      <w:r>
        <w:rPr>
          <w:color w:val="555555"/>
          <w:sz w:val="17"/>
        </w:rPr>
        <w:t xml:space="preserve">Zitiervorschlag: § 13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