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WuSolvV — Abwicklungsrisikopositionen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Abwicklungsrisikoposition ist jeder Anspruch auf Lieferung oder Abnahme von Wertpapieren, Fremdwährungen oder Waren aus einem Geschäft, das kein Pensions-, Darlehens- oder vergleichbares Geschäft über Wertpapiere, Fremdwährungen oder Waren ist, wenn die gegenseitigen Ansprüche nach Ablauf des vereinbarten Liefer- oder Abnahmetermins (Abrechnungstermin) noch nicht erfüllt worden sind.</w:t>
      </w:r>
    </w:p>
    <w:p>
      <w:r>
        <w:t xml:space="preserve">(2) Abwicklungsrisikopositionen, die durch systemweite Ausfälle von Abwicklungs- und Verrechnungssystemen entstanden sind, können auf Antrag mit Zustimmung der Bundesanstalt solange unberücksichtigt bleiben, bis die Systeme wieder funktionstüchtig sind.</w:t>
      </w:r>
    </w:p>
    <w:p>
      <w:r>
        <w:rPr>
          <w:color w:val="555555"/>
          <w:sz w:val="17"/>
        </w:rPr>
        <w:t xml:space="preserve">Zitiervorschlag: § 12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