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WuSolvV — Vorleistungsrisikopositionen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Vorleistungsrisikoposition ist jeder Anspruch aus einem Geschäft, bei dem</w:t>
      </w:r>
    </w:p>
    <w:p>
      <w:pPr>
        <w:ind w:left="420"/>
      </w:pPr>
      <w:r>
        <w:t xml:space="preserve">1. ein Wohnungsunternehmen mit Spareinrichtung</w:t>
      </w:r>
    </w:p>
    <w:p>
      <w:pPr>
        <w:ind w:left="780"/>
      </w:pPr>
      <w:r>
        <w:t xml:space="preserve">a) die Lieferung bezahlter Wertpapiere, Fremdwährungen oder Waren noch nicht erhalten hat, oder</w:t>
      </w:r>
    </w:p>
    <w:p>
      <w:pPr>
        <w:ind w:left="780"/>
      </w:pPr>
      <w:r>
        <w:t xml:space="preserve">b) die Zahlung gelieferter Wertpapiere, Fremdwährungen oder Waren noch nicht erhalten hat,</w:t>
      </w:r>
    </w:p>
    <w:p>
      <w:pPr>
        <w:ind w:left="420"/>
      </w:pPr>
      <w:r>
        <w:t xml:space="preserve">2. seit Zahlung oder Lieferung durch das Wohnungsunternehmen mit Spareinrichtung mehr als ein Geschäftstag vergangen ist, wenn es sich um ein grenzüberschreitendes Geschäft handelt.</w:t>
      </w:r>
    </w:p>
    <w:p>
      <w:r>
        <w:t xml:space="preserve">(2) Vorleistungen, die durch systemweite Ausfälle von Abwicklungs- oder Verrechnungssystemen entstanden sind, können auf Antrag mit Zustimmung der Bundesanstalt solange unberücksichtigt bleiben, bis die Systeme wieder funktionstüchtig sind.</w:t>
      </w:r>
    </w:p>
    <w:p>
      <w:r>
        <w:rPr>
          <w:color w:val="555555"/>
          <w:sz w:val="17"/>
        </w:rPr>
        <w:t xml:space="preserve">Zitiervorschlag: § 11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