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WrackBKostDG</w:t>
      </w:r>
    </w:p>
    <w:p>
      <w:r>
        <w:rPr>
          <w:color w:val="555555"/>
          <w:sz w:val="18"/>
        </w:rPr>
        <w:t xml:space="preserve">Wrackbeseitigungskostendurchsetzungsgesetz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Zuständige Behörde im Sinne der §§ 1 und 2 ist die für die Maßnahmen nach den Artikeln 6 bis 8 und 9 Absatz 1 und 4 des Wrackbeseitigungsübereinkommens zuständige Schifffahrtspolizeibehörde des Bundes.</w:t>
      </w:r>
    </w:p>
    <w:p>
      <w:r>
        <w:rPr>
          <w:color w:val="555555"/>
          <w:sz w:val="17"/>
        </w:rPr>
        <w:t xml:space="preserve">Zitiervorschlag: § 3 WrackBKostDG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https://recht.nulegal.eu/gesetze/WrackBKostDG/3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