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WrackBKostDG</w:t>
      </w:r>
    </w:p>
    <w:p>
      <w:r>
        <w:rPr>
          <w:color w:val="555555"/>
          <w:sz w:val="18"/>
        </w:rPr>
        <w:t xml:space="preserve">Wrackbeseitigungskostendurchsetzungsgesetz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den Aufwendungsersatz nach den Artikeln 10, 11 und 12 des Wrackbeseitigungsübereinkommens sind die §§ 683 und 670 des Bürgerlichen Gesetzbuches anzuwenden.</w:t>
      </w:r>
    </w:p>
    <w:p>
      <w:r>
        <w:rPr>
          <w:color w:val="555555"/>
          <w:sz w:val="17"/>
        </w:rPr>
        <w:t xml:space="preserve">Zitiervorschlag: § 2 WrackBKostDG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https://recht.nulegal.eu/gesetze/WrackBKostDG/2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