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WpSchCHEGDV</w:t>
      </w:r>
    </w:p>
    <w:p>
      <w:r>
        <w:rPr>
          <w:color w:val="555555"/>
          <w:sz w:val="18"/>
        </w:rPr>
        <w:t xml:space="preserve">Verordnung zur Durchführung und Ergänzung des Gesetzes zum Schutze des Wappens der Schweizerischen Eidgenossenschaft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des Gesetzes zum Schutze des Wappens der Schweizerischen Eidgenossenschaft vom 27. März 1935 (Reichsgesetzbl. I S. 501) wird folgendes verordnet:</w:t>
      </w:r>
    </w:p>
    <w:p>
      <w:r>
        <w:rPr>
          <w:color w:val="555555"/>
          <w:sz w:val="17"/>
        </w:rPr>
        <w:t xml:space="preserve">Zitiervorschlag: Eingangsformel WpSchCHEGDV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https://recht.nulegal.eu/gesetze/WpSchCHEGDV/eingangsformel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