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WpPGebV</w:t>
      </w:r>
    </w:p>
    <w:p>
      <w:r>
        <w:rPr>
          <w:color w:val="555555"/>
          <w:sz w:val="18"/>
        </w:rPr>
        <w:t xml:space="preserve">Wertpapierprospektgebührenverordnung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28 Abs. 2 Satz 1 und 2 des Wertpapierprospektgesetzes vom 22. Juni 2005 (BGBl. I S. 1698) in Verbindung mit dem 2. Abschnitt des Verwaltungskostengesetzes vom 23. Juni 1970 (BGBl. I S. 821) und § 1 Nr. 7 der Verordnung zur Übertragung von Befugnissen zum Erlass von Rechtsverordnungen auf die Bundesanstalt für Finanzdienstleistungsaufsicht, § 1 Nr. 7 eingefügt durch Artikel 7 Nr. 3 des Gesetzes vom 22. Juni 2005 (BGBl. I S. 1698), verordnet die Bundesanstalt für Finanzdienstleistungsaufsicht:</w:t>
      </w:r>
    </w:p>
    <w:p>
      <w:r>
        <w:rPr>
          <w:color w:val="555555"/>
          <w:sz w:val="17"/>
        </w:rPr>
        <w:t xml:space="preserve">Zitiervorschlag: Eingangsformel WpPGebV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https://recht.nulegal.eu/gesetze/WpPGebV/eingangsformel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