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WpPGebV — (zu § 2)Gebührenverzeichnis</w:t>
      </w:r>
    </w:p>
    <w:p>
      <w:r>
        <w:rPr>
          <w:color w:val="555555"/>
          <w:sz w:val="18"/>
        </w:rPr>
        <w:t xml:space="preserve">Wertpapierprospektgebührenverordnung</w:t>
      </w:r>
    </w:p>
    <w:p>
      <w:r>
        <w:rPr>
          <w:color w:val="555555"/>
          <w:sz w:val="18"/>
        </w:rPr>
        <w:t xml:space="preserve">Historische Fassung: Stand 24.07.2019 bis 01.10.2021. Dies ist nicht die aktuelle Fassung.</w:t>
      </w:r>
    </w:p>
    <w:p>
      <w:r>
        <w:t xml:space="preserve">(Fundstelle: BGBl. I 2019, 1012 - 1014)</w:t>
      </w:r>
    </w:p>
    <w:p>
      <w:r>
        <w:rPr>
          <w:rFonts w:ascii="Courier New" w:hAnsi="Courier New"/>
          <w:sz w:val="17"/>
        </w:rPr>
        <w:t xml:space="preserve">Nr.    Gebührentatbestand    Gebühr in Euro</w:t>
      </w:r>
    </w:p>
    <w:p>
      <w:r>
        <w:rPr>
          <w:rFonts w:ascii="Courier New" w:hAnsi="Courier New"/>
          <w:sz w:val="17"/>
        </w:rPr>
        <w:t xml:space="preserve">1.    Individuell zurechenbare öffentliche Leistungen auf der Grundlage des Wertpapierprospektgesetzes (WpPG)    </w:t>
      </w:r>
    </w:p>
    <w:p>
      <w:r>
        <w:rPr>
          <w:rFonts w:ascii="Courier New" w:hAnsi="Courier New"/>
          <w:sz w:val="17"/>
        </w:rPr>
        <w:t xml:space="preserve">1.1    Gestattung der Veröffentlichung eines Wertpapier-Informationsblatts und dessen Aufbewahrung    500</w:t>
      </w:r>
    </w:p>
    <w:p>
      <w:r>
        <w:rPr>
          <w:rFonts w:ascii="Courier New" w:hAnsi="Courier New"/>
          <w:sz w:val="17"/>
        </w:rPr>
        <w:t xml:space="preserve">    (§ 4 Absatz 1 und 2 WpPG)    </w:t>
      </w:r>
    </w:p>
    <w:p>
      <w:r>
        <w:rPr>
          <w:rFonts w:ascii="Courier New" w:hAnsi="Courier New"/>
          <w:sz w:val="17"/>
        </w:rPr>
        <w:t xml:space="preserve">1.2    Aufbewahrung eines aktualisierten Wertpapier-Informationsblatts    55</w:t>
      </w:r>
    </w:p>
    <w:p>
      <w:r>
        <w:rPr>
          <w:rFonts w:ascii="Courier New" w:hAnsi="Courier New"/>
          <w:sz w:val="17"/>
        </w:rPr>
        <w:t xml:space="preserve">    (§ 4 Absatz 8 WpPG)    </w:t>
      </w:r>
    </w:p>
    <w:p>
      <w:r>
        <w:rPr>
          <w:rFonts w:ascii="Courier New" w:hAnsi="Courier New"/>
          <w:sz w:val="17"/>
        </w:rPr>
        <w:t xml:space="preserve">1.3    Untersagung eines öffentlichen Angebots    4 000</w:t>
      </w:r>
    </w:p>
    <w:p>
      <w:r>
        <w:rPr>
          <w:rFonts w:ascii="Courier New" w:hAnsi="Courier New"/>
          <w:sz w:val="17"/>
        </w:rPr>
        <w:t xml:space="preserve">    (§ 18 Absatz 4 Satz 1 und 2 WpPG)    </w:t>
      </w:r>
    </w:p>
    <w:p>
      <w:r>
        <w:rPr>
          <w:rFonts w:ascii="Courier New" w:hAnsi="Courier New"/>
          <w:sz w:val="17"/>
        </w:rPr>
        <w:t xml:space="preserve">1.4    Anordnung, dass ein öffentliches Angebot nach § 18 Absatz 4 Satz 4 WpPG für höchstens zehn Tage oder nach § 18 Absatz 7 zweiter Halbsatz zweite Variante WpPG auszusetzen ist    2 500</w:t>
      </w:r>
    </w:p>
    <w:p>
      <w:r>
        <w:rPr>
          <w:rFonts w:ascii="Courier New" w:hAnsi="Courier New"/>
          <w:sz w:val="17"/>
        </w:rPr>
        <w:t xml:space="preserve">1.5    Untersagung der Werbung    2 000</w:t>
      </w:r>
    </w:p>
    <w:p>
      <w:r>
        <w:rPr>
          <w:rFonts w:ascii="Courier New" w:hAnsi="Courier New"/>
          <w:sz w:val="17"/>
        </w:rPr>
        <w:t xml:space="preserve">    (§ 18 Absatz 5 Satz 2 zweiter Halbsatz erste Variante WpPG)    </w:t>
      </w:r>
    </w:p>
    <w:p>
      <w:r>
        <w:rPr>
          <w:rFonts w:ascii="Courier New" w:hAnsi="Courier New"/>
          <w:sz w:val="17"/>
        </w:rPr>
        <w:t xml:space="preserve">1.6    Anordnung, dass die Werbung für jeweils zehn aufeinanderfolgende Tage auszusetzen ist    1 250</w:t>
      </w:r>
    </w:p>
    <w:p>
      <w:r>
        <w:rPr>
          <w:rFonts w:ascii="Courier New" w:hAnsi="Courier New"/>
          <w:sz w:val="17"/>
        </w:rPr>
        <w:t xml:space="preserve">    (§ 18 Absatz 5 Satz 2 zweiter Halbsatz zweite Variante WpPG)    </w:t>
      </w:r>
    </w:p>
    <w:p>
      <w:r>
        <w:rPr>
          <w:rFonts w:ascii="Courier New" w:hAnsi="Courier New"/>
          <w:sz w:val="17"/>
        </w:rPr>
        <w:t xml:space="preserve">1.7    Anordnung, dass ein öffentliches Angebot zu beschränken ist    2 500</w:t>
      </w:r>
    </w:p>
    <w:p>
      <w:r>
        <w:rPr>
          <w:rFonts w:ascii="Courier New" w:hAnsi="Courier New"/>
          <w:sz w:val="17"/>
        </w:rPr>
        <w:t xml:space="preserve">    (§ 18 Absatz 7 zweiter Halbsatz dritte Variante WpPG)    </w:t>
      </w:r>
    </w:p>
    <w:p>
      <w:r>
        <w:rPr>
          <w:rFonts w:ascii="Courier New" w:hAnsi="Courier New"/>
          <w:sz w:val="17"/>
        </w:rPr>
        <w:t xml:space="preserve">1.8    Hinterlegung der endgültigen Bedingungen des Angebots oder des endgültigen Emissionspreises und des Emissionsvolumens    1,55</w:t>
      </w:r>
    </w:p>
    <w:p>
      <w:r>
        <w:rPr>
          <w:rFonts w:ascii="Courier New" w:hAnsi="Courier New"/>
          <w:sz w:val="17"/>
        </w:rPr>
        <w:t xml:space="preserve">    (§ 6 Absatz 3 Satz 2, auch in Verbindung mit Satz 3 WpPG in der bis zum 20. Juli 2019 geltenden Fassung,    </w:t>
      </w:r>
    </w:p>
    <w:p>
      <w:r>
        <w:rPr>
          <w:rFonts w:ascii="Courier New" w:hAnsi="Courier New"/>
          <w:sz w:val="17"/>
        </w:rPr>
        <w:t xml:space="preserve">    § 8 Absatz 1 Satz 9 WpPG in der bis zum 20. Juli 2019 geltenden Fassung)    </w:t>
      </w:r>
    </w:p>
    <w:p>
      <w:r>
        <w:rPr>
          <w:rFonts w:ascii="Courier New" w:hAnsi="Courier New"/>
          <w:sz w:val="17"/>
        </w:rPr>
        <w:t xml:space="preserve">1.9    Billigung eines Nachtrags im Sinne des § 16 Absatz 1 WpPG in der bis zum 20. Juli 2019 geltenden Fassung und dessen Hinterlegung    84</w:t>
      </w:r>
    </w:p>
    <w:p>
      <w:r>
        <w:rPr>
          <w:rFonts w:ascii="Courier New" w:hAnsi="Courier New"/>
          <w:sz w:val="17"/>
        </w:rPr>
        <w:t xml:space="preserve">    (§ 16 Absatz 1 Satz 3 in Verbindung mit § 13 Absatz 1 WpPG in der bis zum 20. Juli 2019 geltenden Fassung)    </w:t>
      </w:r>
    </w:p>
    <w:p>
      <w:r>
        <w:rPr>
          <w:rFonts w:ascii="Courier New" w:hAnsi="Courier New"/>
          <w:sz w:val="17"/>
        </w:rPr>
        <w:t xml:space="preserve">1.10    Übermittlung einer Bescheinigung im Sinne des § 18 Absatz 1 WpPG in der bis zum 20. Juli 2019 geltenden Fassung über die Billigung des Prospekts für jeden Mitgliedstaat, an dessen zuständige Behörde eine solche Bescheinigung übermittelt wird    8,55</w:t>
      </w:r>
    </w:p>
    <w:p>
      <w:r>
        <w:rPr>
          <w:rFonts w:ascii="Courier New" w:hAnsi="Courier New"/>
          <w:sz w:val="17"/>
        </w:rPr>
        <w:t xml:space="preserve">    (§ 18 Absatz 1 Satz 1, auch in Verbindung mit Absatz 2 WpPG in der bis zum 20. Juli 2019 geltenden Fassung)    </w:t>
      </w:r>
    </w:p>
    <w:p>
      <w:r>
        <w:rPr>
          <w:rFonts w:ascii="Courier New" w:hAnsi="Courier New"/>
          <w:sz w:val="17"/>
        </w:rPr>
        <w:t xml:space="preserve">2.    Individuell zurechenbare öffentliche Leistungen auf der Grundlage der Verordnung (EU) 2017/1129    </w:t>
      </w:r>
    </w:p>
    <w:p>
      <w:r>
        <w:rPr>
          <w:rFonts w:ascii="Courier New" w:hAnsi="Courier New"/>
          <w:sz w:val="17"/>
        </w:rPr>
        <w:t xml:space="preserve">2.1    Billigung eines einheitlichen Registrierungsformulars im Sinne des Artikels 9 Absatz 1 der Verordnung (EU) 2017/1129 und dessen Aufbewahrung oder    3 250</w:t>
      </w:r>
    </w:p>
    <w:p>
      <w:r>
        <w:rPr>
          <w:rFonts w:ascii="Courier New" w:hAnsi="Courier New"/>
          <w:sz w:val="17"/>
        </w:rPr>
        <w:t xml:space="preserve">    Billigung eines Registrierungsformulars im Sinne des Artikels 6 Absatz 3 Unterabsatz 2 Satz 1 und 2 der Verordnung (EU) 2017/1129 und dessen Aufbewahrung    </w:t>
      </w:r>
    </w:p>
    <w:p>
      <w:r>
        <w:rPr>
          <w:rFonts w:ascii="Courier New" w:hAnsi="Courier New"/>
          <w:sz w:val="17"/>
        </w:rPr>
        <w:t xml:space="preserve">    (Artikel 9 Absatz 2 Unterabsatz 1 der Verordnung (EU) 2017/1129,    </w:t>
      </w:r>
    </w:p>
    <w:p>
      <w:r>
        <w:rPr>
          <w:rFonts w:ascii="Courier New" w:hAnsi="Courier New"/>
          <w:sz w:val="17"/>
        </w:rPr>
        <w:t xml:space="preserve">    Artikel 21 Absatz 5 Unterabsatz 1 der Verordnung (EU) 2017/1129)    </w:t>
      </w:r>
    </w:p>
    <w:p>
      <w:r>
        <w:rPr>
          <w:rFonts w:ascii="Courier New" w:hAnsi="Courier New"/>
          <w:sz w:val="17"/>
        </w:rPr>
        <w:t xml:space="preserve">2.2    Billigung eines speziellen Registrierungsformulars für einen vereinfachten Prospekt auf der Grundlage der vereinfachten Offenlegungsregelung für Sekundäremissionen im Sinne des Artikels 6 Absatz 3 Unterabsatz 2 Satz 1 und 2 und des Artikels 14 Absatz 1 Unterabsatz 2 der Verordnung (EU) 2017/1129 und dessen Aufbewahrung    2 437,50</w:t>
      </w:r>
    </w:p>
    <w:p>
      <w:r>
        <w:rPr>
          <w:rFonts w:ascii="Courier New" w:hAnsi="Courier New"/>
          <w:sz w:val="17"/>
        </w:rPr>
        <w:t xml:space="preserve">    (Artikel 21 Absatz 5 Unterabsatz 1 der Verordnung (EU) 2017/1129)    </w:t>
      </w:r>
    </w:p>
    <w:p>
      <w:r>
        <w:rPr>
          <w:rFonts w:ascii="Courier New" w:hAnsi="Courier New"/>
          <w:sz w:val="17"/>
        </w:rPr>
        <w:t xml:space="preserve">2.3    Billigung eines speziellen Registrierungsformulars für einen EU-Wachstumsprospekt im Sinne des Artikels 6 Absatz 3 Unterabsatz 2 Satz 1 und 2 und des Artikels 15 Absatz 1 Unterabsatz 2 der Verordnung (EU) 2017/1129 und dessen Aufbewahrung    2 437,50</w:t>
      </w:r>
    </w:p>
    <w:p>
      <w:r>
        <w:rPr>
          <w:rFonts w:ascii="Courier New" w:hAnsi="Courier New"/>
          <w:sz w:val="17"/>
        </w:rPr>
        <w:t xml:space="preserve">    (Artikel 21 Absatz 5 Unterabsatz 1 der Verordnung (EU) 2017/1129)    </w:t>
      </w:r>
    </w:p>
    <w:p>
      <w:r>
        <w:rPr>
          <w:rFonts w:ascii="Courier New" w:hAnsi="Courier New"/>
          <w:sz w:val="17"/>
        </w:rPr>
        <w:t xml:space="preserve">2.4    Hinterlegung eines einheitlichen Registrierungsformulars im Sinne des Artikels 9 Absatz 1 der Verordnung (EU) 2017/1129 ohne vorherige Billigung und dessen Aufbewahrung    65</w:t>
      </w:r>
    </w:p>
    <w:p>
      <w:r>
        <w:rPr>
          <w:rFonts w:ascii="Courier New" w:hAnsi="Courier New"/>
          <w:sz w:val="17"/>
        </w:rPr>
        <w:t xml:space="preserve">    (Artikel 9 Absatz 2 Unterabsatz 2 der Verordnung (EU) 2017/1129)    </w:t>
      </w:r>
    </w:p>
    <w:p>
      <w:r>
        <w:rPr>
          <w:rFonts w:ascii="Courier New" w:hAnsi="Courier New"/>
          <w:sz w:val="17"/>
        </w:rPr>
        <w:t xml:space="preserve">2.5    Hinterlegung einer Änderung zu einem einheitlichen Registrierungsformular im Sinne des Artikels 9 Absatz 1 der Verordnung (EU) 2017/1129 und deren Aufbewahrung    65</w:t>
      </w:r>
    </w:p>
    <w:p>
      <w:r>
        <w:rPr>
          <w:rFonts w:ascii="Courier New" w:hAnsi="Courier New"/>
          <w:sz w:val="17"/>
        </w:rPr>
        <w:t xml:space="preserve">    (Artikel 9 Absatz 7 der Verordnung (EU) 2017/1129)    </w:t>
      </w:r>
    </w:p>
    <w:p>
      <w:r>
        <w:rPr>
          <w:rFonts w:ascii="Courier New" w:hAnsi="Courier New"/>
          <w:sz w:val="17"/>
        </w:rPr>
        <w:t xml:space="preserve">2.6    Aufbewahrung der endgültigen Bedingungen des Angebots und der Zusammenfassung für die einzelne Emission oder des endgültigen Emissionsvolumens    1,55</w:t>
      </w:r>
    </w:p>
    <w:p>
      <w:r>
        <w:rPr>
          <w:rFonts w:ascii="Courier New" w:hAnsi="Courier New"/>
          <w:sz w:val="17"/>
        </w:rPr>
        <w:t xml:space="preserve">    (Artikel 8 Absatz 5 der Verordnung (EU) 2017/1129,    </w:t>
      </w:r>
    </w:p>
    <w:p>
      <w:r>
        <w:rPr>
          <w:rFonts w:ascii="Courier New" w:hAnsi="Courier New"/>
          <w:sz w:val="17"/>
        </w:rPr>
        <w:t xml:space="preserve">    Artikel 8 Absatz 8 und 9 der Verordnung (EU) 2017/1129,    </w:t>
      </w:r>
    </w:p>
    <w:p>
      <w:r>
        <w:rPr>
          <w:rFonts w:ascii="Courier New" w:hAnsi="Courier New"/>
          <w:sz w:val="17"/>
        </w:rPr>
        <w:t xml:space="preserve">    Artikel 17 Absatz 2 der Verordnung (EU) 2017/1129)    </w:t>
      </w:r>
    </w:p>
    <w:p>
      <w:r>
        <w:rPr>
          <w:rFonts w:ascii="Courier New" w:hAnsi="Courier New"/>
          <w:sz w:val="17"/>
        </w:rPr>
        <w:t xml:space="preserve">2.7    Billigung von Änderungen eines einheitlichen Registrierungsformulars im Sinne des Artikels 10 Absatz 3 Unterabsatz 2 oder 3 der Verordnung (EU) 2017/1129 oder Billigung von Änderungen eines einheitlichen Registrierungsformulars, die nach Artikel 26 Absatz 2 der Verordnung (EU) 2017/1129 deren Notifizierung vorausgeht    84</w:t>
      </w:r>
    </w:p>
    <w:p>
      <w:r>
        <w:rPr>
          <w:rFonts w:ascii="Courier New" w:hAnsi="Courier New"/>
          <w:sz w:val="17"/>
        </w:rPr>
        <w:t xml:space="preserve">    (Artikel 20 Absatz 1 der Verordnung (EU) 2017/1129)    </w:t>
      </w:r>
    </w:p>
    <w:p>
      <w:r>
        <w:rPr>
          <w:rFonts w:ascii="Courier New" w:hAnsi="Courier New"/>
          <w:sz w:val="17"/>
        </w:rPr>
        <w:t xml:space="preserve">2.8    Billigung eines Prospekts oder eines Basisprospekts, der als einziges Dokument im Sinne des Artikels 6 Absatz 3 Unterabsatz 1 erste Alternative oder des Artikels 8 Absatz 6 Unterabsatz 1 erste Alternative der Verordnung (EU) 2017/1129 erstellt worden ist, und dessen Aufbewahrung    6 500</w:t>
      </w:r>
    </w:p>
    <w:p>
      <w:r>
        <w:rPr>
          <w:rFonts w:ascii="Courier New" w:hAnsi="Courier New"/>
          <w:sz w:val="17"/>
        </w:rPr>
        <w:t xml:space="preserve">    (Artikel 20 Absatz 1 und Artikel 21 Absatz 5 Unterabsatz 1 der Verordnung (EU) 2017/1129)    </w:t>
      </w:r>
    </w:p>
    <w:p>
      <w:r>
        <w:rPr>
          <w:rFonts w:ascii="Courier New" w:hAnsi="Courier New"/>
          <w:sz w:val="17"/>
        </w:rPr>
        <w:t xml:space="preserve">2.9    Billigung einer Wertpapierbeschreibung und Zusammenfassung im Sinne des Artikels 6 Absatz 3 Unterabsatz 2 Satz 1 und 3 der Verordnung (EU) 2017/1129 und deren Aufbewahrung    3 250</w:t>
      </w:r>
    </w:p>
    <w:p>
      <w:r>
        <w:rPr>
          <w:rFonts w:ascii="Courier New" w:hAnsi="Courier New"/>
          <w:sz w:val="17"/>
        </w:rPr>
        <w:t xml:space="preserve">    (Artikel 20 Absatz 1 und Artikel 21 Absatz 5 Unterabsatz 1 der Verordnung (EU) 2017/1129)    </w:t>
      </w:r>
    </w:p>
    <w:p>
      <w:r>
        <w:rPr>
          <w:rFonts w:ascii="Courier New" w:hAnsi="Courier New"/>
          <w:sz w:val="17"/>
        </w:rPr>
        <w:t xml:space="preserve">2.10    Billigung eines vereinfachten Prospekts oder eines Basisprospekts, der als einziges Dokument im Sinne des Artikels 14 Absatz 1 und des Artikels 6 Absatz 3 erste Alternative oder Artikel 8 Absatz 6 erste Alternative der Verordnung (EU) 2017/1129 erstellt worden ist, und dessen Aufbewahrung    4 875</w:t>
      </w:r>
    </w:p>
    <w:p>
      <w:r>
        <w:rPr>
          <w:rFonts w:ascii="Courier New" w:hAnsi="Courier New"/>
          <w:sz w:val="17"/>
        </w:rPr>
        <w:t xml:space="preserve">    (Artikel 20 Absatz 1 und Artikel 21 Absatz 5 Unterabsatz 1 der Verordnung (EU) 2017/1129)    </w:t>
      </w:r>
    </w:p>
    <w:p>
      <w:r>
        <w:rPr>
          <w:rFonts w:ascii="Courier New" w:hAnsi="Courier New"/>
          <w:sz w:val="17"/>
        </w:rPr>
        <w:t xml:space="preserve">2.11    Billigung einer Wertpapierbeschreibung und Zusammenfassung für einen vereinfachten Prospekt auf der Grundlage der vereinfachten Offenlegungsregelung für Sekundäremissionen im Sinne des Artikels 14 Absatz 1 und des Artikels 6 Absatz 3 Unterabsatz 2 Satz 1 und 3 der Verordnung (EU) 2017/1129 und dessen Aufbewahrung    2 437,50</w:t>
      </w:r>
    </w:p>
    <w:p>
      <w:r>
        <w:rPr>
          <w:rFonts w:ascii="Courier New" w:hAnsi="Courier New"/>
          <w:sz w:val="17"/>
        </w:rPr>
        <w:t xml:space="preserve">    (Artikel 20 Absatz 1 und Artikel 21 Absatz 5 Unterabsatz 1 der Verordnung (EU) 2017/1129)    </w:t>
      </w:r>
    </w:p>
    <w:p>
      <w:r>
        <w:rPr>
          <w:rFonts w:ascii="Courier New" w:hAnsi="Courier New"/>
          <w:sz w:val="17"/>
        </w:rPr>
        <w:t xml:space="preserve">2.12    Billigung eines EU-Wachstumsprospekts oder eines Basisprospekts, der als einziges Dokument im Sinne des Artikels 15 Absatz 1 und des Artikels 6 Absatz 3 erste Alternative oder des Artikels 8 Absatz 6 erste Alternative der Verordnung (EU) 2017/1129 erstellt worden ist, und dessen Aufbewahrung    4 875</w:t>
      </w:r>
    </w:p>
    <w:p>
      <w:r>
        <w:rPr>
          <w:rFonts w:ascii="Courier New" w:hAnsi="Courier New"/>
          <w:sz w:val="17"/>
        </w:rPr>
        <w:t xml:space="preserve">    (Artikel 20 Absatz 1 und Artikel 21 Absatz 5 Unterabsatz 1 der Verordnung (EU) 2017/1129)    </w:t>
      </w:r>
    </w:p>
    <w:p>
      <w:r>
        <w:rPr>
          <w:rFonts w:ascii="Courier New" w:hAnsi="Courier New"/>
          <w:sz w:val="17"/>
        </w:rPr>
        <w:t xml:space="preserve">2.13    Billigung einer speziellen Wertpapierbeschreibung und speziellen Zusammenfassung im Sinne des Artikels 15 Absatz 1 Unterabsatz 2 und des Artikels 6 Absatz 3 Unterabsatz 2 Satz 1 und 3 der Verordnung (EU) 2017/1129 und deren Aufbewahrung    2 437,50</w:t>
      </w:r>
    </w:p>
    <w:p>
      <w:r>
        <w:rPr>
          <w:rFonts w:ascii="Courier New" w:hAnsi="Courier New"/>
          <w:sz w:val="17"/>
        </w:rPr>
        <w:t xml:space="preserve">    (Artikel 20 Absatz 1 und Artikel 21 Absatz 5 Unterabsatz 1 der Verordnung (EU) 2017/1129)    </w:t>
      </w:r>
    </w:p>
    <w:p>
      <w:r>
        <w:rPr>
          <w:rFonts w:ascii="Courier New" w:hAnsi="Courier New"/>
          <w:sz w:val="17"/>
        </w:rPr>
        <w:t xml:space="preserve">2.14    Billigung eines Nachtrags im Sinne des Artikels 10 Absatz 1 Unterabsatz 2 der Verordnung (EU) 2017/1129 und dessen Aufbewahrung oder    84</w:t>
      </w:r>
    </w:p>
    <w:p>
      <w:r>
        <w:rPr>
          <w:rFonts w:ascii="Courier New" w:hAnsi="Courier New"/>
          <w:sz w:val="17"/>
        </w:rPr>
        <w:t xml:space="preserve">    Billigung eines Nachtrags im Sinne des Artikels 23 Absatz 1 Unterabsatz 1 der Verordnung (EU) 2017/1129    </w:t>
      </w:r>
    </w:p>
    <w:p>
      <w:r>
        <w:rPr>
          <w:rFonts w:ascii="Courier New" w:hAnsi="Courier New"/>
          <w:sz w:val="17"/>
        </w:rPr>
        <w:t xml:space="preserve">    (Artikel 23 Absatz 1 Unterabsatz 2 und Artikel 21 Absatz 5 Unterabsatz 1 der Verordnung (EU) 2017/1129)    </w:t>
      </w:r>
    </w:p>
    <w:p>
      <w:r>
        <w:rPr>
          <w:rFonts w:ascii="Courier New" w:hAnsi="Courier New"/>
          <w:sz w:val="17"/>
        </w:rPr>
        <w:t xml:space="preserve">2.15    Billigung eines Prospekts, der von einem Emittenten nach den für ihn geltenden Rechtsvorschriften eines Staates, der nicht Staat des Europäischen Wirtschaftsraums ist, erstellt worden ist, für ein öffentliches Angebot oder die Zulassung zum Handel an einem geregelten Markt und dessen Aufbewahrung    9 750</w:t>
      </w:r>
    </w:p>
    <w:p>
      <w:r>
        <w:rPr>
          <w:rFonts w:ascii="Courier New" w:hAnsi="Courier New"/>
          <w:sz w:val="17"/>
        </w:rPr>
        <w:t xml:space="preserve">    (Artikel 29 Absatz 1 und Artikel 28 Unterabsatz 2 i. V. m. Artikel 21 Absatz 5 Unterabsatz 1 der Verordnung (EU) 2017/1129)    </w:t>
      </w:r>
    </w:p>
    <w:p>
      <w:r>
        <w:rPr>
          <w:color w:val="555555"/>
          <w:sz w:val="17"/>
        </w:rPr>
        <w:t xml:space="preserve">Zitiervorschlag: Anlage WpPGebV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https://recht.nulegal.eu/gesetze/WpPGebV/anlage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