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WpPG — Haftung bei fehlerhaftem Börsenzulassungsprospekt</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Der Erwerber von Wertpapieren, die auf Grund eines Prospekts zum Börsenhandel zugelassen sind, in dem für die Beurteilung der Wertpapiere wesentliche Angaben unrichtig oder unvollständig sind, kann</w:t>
      </w:r>
    </w:p>
    <w:p>
      <w:pPr>
        <w:ind w:left="420"/>
      </w:pPr>
      <w:r>
        <w:t xml:space="preserve">1. von denjenigen, die für den Prospekt die Verantwortung übernommen haben, und</w:t>
      </w:r>
    </w:p>
    <w:p>
      <w:pPr>
        <w:ind w:left="420"/>
      </w:pPr>
      <w:r>
        <w:t xml:space="preserve">2. von denjenigen, von denen der Erlass des Prospekts ausgeht,</w:t>
      </w:r>
    </w:p>
    <w:p>
      <w:r>
        <w:t xml:space="preserve">als Gesamtschuldnern die Übernahme der Wertpapiere gegen Erstattung des Erwerbspreises, soweit dieser den ersten Ausgabepreis der Wertpapiere nicht überschreitet, und der mit dem Erwerb verbundenen üblichen Kosten verlangen, sofern das Erwerbsgeschäft nach Veröffentlichung des Prospekts und innerhalb von sechs Monaten nach erstmaliger Einführung der Wertpapiere abgeschlossen wurde. Ist kein Ausgabepreis festgelegt, gilt als Ausgabepreis der erste nach Einführung der Wertpapiere festgestellte oder gebildete Börsenpreis, im Falle gleichzeitiger Feststellung oder Bildung an mehreren inländischen Börsen der höchste erste Börsenpreis. Auf den Erwerb von Wertpapieren desselben Emittenten, die von den in Satz 1 genannten Wertpapieren nicht nach Ausstattungsmerkmalen oder in sonstiger Weise unterschieden werden können, sind die Sätze 1 und 2 entsprechend anzuwenden.</w:t>
      </w:r>
    </w:p>
    <w:p>
      <w:r>
        <w:t xml:space="preserve">(2) Ist der Erwerber nicht mehr Inhaber der Wertpapiere, so kann er die Zahlung des Unterschiedsbetrags zwischen dem Erwerbspreis, soweit dieser den ersten Ausgabepreis nicht überschreitet, und dem Veräußerungspreis der Wertpapiere sowie der mit dem Erwerb und der Veräußerung verbundenen üblichen Kosten verlangen. Absatz 1 Satz 2 und 3 ist anzuwenden.</w:t>
      </w:r>
    </w:p>
    <w:p>
      <w:r>
        <w:t xml:space="preserve">(3) Sind Wertpapiere eines Emittenten mit Sitz im Ausland auch im Ausland zum Börsenhandel zugelassen, besteht ein Anspruch nach Absatz 1 oder 2 nur, sofern die Wertpapiere auf Grund eines im Inland abgeschlossenen Geschäfts oder einer ganz oder teilweise im Inland erbrachten Wertpapierdienstleistung erworben wurden.</w:t>
      </w:r>
    </w:p>
    <w:p>
      <w:r>
        <w:t xml:space="preserve">(4) Einem Prospekt stehen Dokumente gleich, welche gemäß Artikel 1 Absatz 5 Unterabsatz 1 Buchstabe ba Ziffer iii, e, f, g, h oder j Ziffer v und vi der Verordnung (EU) 2017/1129 zur Verfügung gestellt wurden.</w:t>
      </w:r>
    </w:p>
    <w:p>
      <w:r>
        <w:rPr>
          <w:color w:val="555555"/>
          <w:sz w:val="17"/>
        </w:rPr>
        <w:t xml:space="preserve">Zitiervorschlag: § 9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