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WpPG — Übermittlung des Wertpapier-Informationsblatts an die Bundesanstalt; Frist und Form der Veröffentlichung; Veröffentlichung durch die Bundesanstalt</w:t>
      </w:r>
    </w:p>
    <w:p>
      <w:r>
        <w:rPr>
          <w:color w:val="555555"/>
          <w:sz w:val="18"/>
        </w:rPr>
        <w:t xml:space="preserve">Wertpapierprospektgesetz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Das Wertpapier-Informationsblatt ist der Bundesanstalt elektronisch und in elektronisch durchsuchbarem Format über ihr Melde- und Veröffentlichungssystem zu übermitteln.</w:t>
      </w:r>
    </w:p>
    <w:p>
      <w:r>
        <w:t xml:space="preserve">(2) Hinsichtlich der Aufbewahrung des Wertpapier-Informationsblatts und der aktualisierten Fassungen gilt § 22 Absatz 2 entsprechend.</w:t>
      </w:r>
    </w:p>
    <w:p>
      <w:r>
        <w:t xml:space="preserve">(3) Das hinterlegte Wertpapier-Informationsblatt muss mindestens einen Werktag vor dem öffentlichen Angebot entsprechend Artikel 21 Absatz 2 und 3 Unterabsatz 1 der Verordnung (EU) 2017/1129 veröffentlicht werden. Der Anbieter hat sicherzustellen, dass das Wertpapier-Informationsblatt ohne Zugangsbeschränkung für jedermann zugänglich ist; die Regelungen des Artikels 21 Absatz 4 der Verordnung (EU) 2017/1129 gelten entsprechend.</w:t>
      </w:r>
    </w:p>
    <w:p>
      <w:r>
        <w:t xml:space="preserve">(4) Die Bundesanstalt veröffentlicht auf ihrer Webseite die nach § 4 gestatteten Wertpapier-Informationsblätter. Diese bleiben zehn Jahre lang auf der Webseite öffentlich zugänglich. Die Bundesanstalt veröffentlicht auf ihrer Webseite auch die nach § 4 Absatz 8 Satz 1 übermittelten aktualisierten Fassungen der Wertpapier-Informationsblätter; Satz 2 gilt entsprechend.</w:t>
      </w:r>
    </w:p>
    <w:p>
      <w:r>
        <w:rPr>
          <w:color w:val="555555"/>
          <w:sz w:val="17"/>
        </w:rPr>
        <w:t xml:space="preserve">Zitiervorschlag: § 5 WpPG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https://recht.nulegal.eu/gesetze/WpPG/5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