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WpPG — Wertpapier-Informationsblatt; Verordnungsermächtigung</w:t>
      </w:r>
    </w:p>
    <w:p>
      <w:r>
        <w:rPr>
          <w:color w:val="555555"/>
          <w:sz w:val="18"/>
        </w:rPr>
        <w:t xml:space="preserve">Wertpapierprospektgesetz</w:t>
      </w:r>
    </w:p>
    <w:p>
      <w:r>
        <w:rPr>
          <w:color w:val="555555"/>
          <w:sz w:val="18"/>
        </w:rPr>
        <w:t xml:space="preserve">Stand: 05.06.2026 (konsolidierte Textfassung, kein amtliches Inkrafttretensdatum)</w:t>
      </w:r>
    </w:p>
    <w:p>
      <w:r>
        <w:t xml:space="preserve">(1) Ein Anbieter, der die Ausnahme nach Artikel 3 Absatz 2 der Verordnung (EU) 2017/1129 in Anspruch nimmt, darf die Wertpapiere im Inland erst dann öffentlich anbieten, wenn er zuvor ein Wertpapier-Informationsblatt nach den Absätzen 3 bis 5 und 6 Satz 2 sowie Absatz 7 Satz 4 erstellt, bei der Bundesanstalt hinterlegt und veröffentlicht hat. Die Verpflichtung nach Satz 1 gilt nicht</w:t>
      </w:r>
    </w:p>
    <w:p>
      <w:pPr>
        <w:ind w:left="420"/>
      </w:pPr>
      <w:r>
        <w:t xml:space="preserve">1. für ein öffentliches Angebot im Inland von Wertpapieren mit einem Gesamtgegenwert im Europäischen Wirtschaftsraum von weniger als 100 000 Euro, berechnet über einen Zeitraum von zwölf Monaten und in entsprechender Anwendung von Artikel 3 Absatz 2c der Verordnung (EU) 2017/1129,</w:t>
      </w:r>
    </w:p>
    <w:p>
      <w:pPr>
        <w:ind w:left="420"/>
      </w:pPr>
      <w:r>
        <w:t xml:space="preserve">2. für Emittenten, deren Aktien bereits zum Handel an einem geregelten Markt zugelassen sind,</w:t>
      </w:r>
    </w:p>
    <w:p>
      <w:pPr>
        <w:ind w:left="420"/>
      </w:pPr>
      <w:r>
        <w:t xml:space="preserve">3. für Kreditinstitute oder</w:t>
      </w:r>
    </w:p>
    <w:p>
      <w:pPr>
        <w:ind w:left="420"/>
      </w:pPr>
      <w:r>
        <w:t xml:space="preserve">4. wenn für die Wertpapiere ein Basisinformationsblatt nach der Verordnung (EU) Nr. 1286/2014 veröffentlicht werden muss.</w:t>
      </w:r>
    </w:p>
    <w:p>
      <w:r>
        <w:t xml:space="preserve">(2) Das Wertpapier-Informationsblatt darf erst veröffentlicht werden, wenn die Bundesanstalt die Veröffentlichung gestattet. Die Gestattung ist zu erteilen, wenn</w:t>
      </w:r>
    </w:p>
    <w:p>
      <w:pPr>
        <w:ind w:left="420"/>
      </w:pPr>
      <w:r>
        <w:t xml:space="preserve">1. das Wertpapier-Informationsblatt vollständig alle Angaben, Hinweise und Anlagen enthält, die nach den folgenden Absätzen, auch in Verbindung mit der nach Absatz 9 zu erlassenden Rechtsverordnung, erforderlich sind, und diese Angaben, Hinweise und Anlagen in der vorgeschriebenen Reihenfolge erfolgen und</w:t>
      </w:r>
    </w:p>
    <w:p>
      <w:pPr>
        <w:ind w:left="420"/>
      </w:pPr>
      <w:r>
        <w:t xml:space="preserve">2. das Feststellungsdatum des letzten Jahresabschlusses des Emittenten und im Falle eines Garantiegebers zusätzlich das Feststellungsdatum des letzten Jahresabschlusses des Garantiegebers zum Zeitpunkt der Gestattung nicht länger als 18 Monate zurückliegt.</w:t>
      </w:r>
    </w:p>
    <w:p>
      <w:r>
        <w:t xml:space="preserve">Die Bundesanstalt hat dem Anbieter innerhalb von zehn Arbeitstagen nach Eingang des Wertpapier-Informationsblatts mitzuteilen, ob sie die Veröffentlichung gestattet. Gelangt die Bundesanstalt zu der Auffassung, dass das ihr zur Gestattung vorgelegte Wertpapier-Informationsblatt unvollständig ist oder die erforderlichen Angaben, Hinweise und Anlagen nicht in der vorgeschriebenen Reihenfolge erfolgen, beginnt die Frist nach Satz 3 erst ab dem Zeitpunkt zu laufen, zu welchem die erforderlichen Angaben, Hinweise und Anlagen vollständig und in der vorgeschriebenen Reihenfolge eingehen. Die Bundesanstalt soll den Anbieter innerhalb von fünf Arbeitstagen nach Eingang des Wertpapier-Informationsblatts unterrichten, wenn sie nach Satz 4 weitere Informationen für erforderlich hält. Dies gilt auch, wenn sie zu dem Ergebnis kommt, dass die erforderlichen Angaben, Hinweise und Anlagen nicht in der vorgeschriebenen Reihenfolge erfolgt sind.</w:t>
      </w:r>
    </w:p>
    <w:p>
      <w:r>
        <w:t xml:space="preserve">(3) Das Wertpapier-Informationsblatt darf nicht mehr als drei DIN-A4-Seiten umfassen. Es muss mindestens die wesentlichen Informationen über die Wertpapiere, den Anbieter, den Emittenten und etwaige Garantiegeber in übersichtlicher und leicht verständlicher Weise in der nachfolgenden Reihenfolge enthalten, so dass das Publikum</w:t>
      </w:r>
    </w:p>
    <w:p>
      <w:pPr>
        <w:ind w:left="420"/>
      </w:pPr>
      <w:r>
        <w:t xml:space="preserve">1. die Art, die genaue Bezeichnung und die internationale Wertpapier-Identifikationsnummer (ISIN) des Wertpapiers,</w:t>
      </w:r>
    </w:p>
    <w:p>
      <w:pPr>
        <w:ind w:left="420"/>
      </w:pPr>
      <w:r>
        <w:t xml:space="preserve">2. die Funktionsweise des Wertpapiers einschließlich der mit dem Wertpapier verbundenen Rechte,</w:t>
      </w:r>
    </w:p>
    <w:p>
      <w:pPr>
        <w:ind w:left="420"/>
      </w:pPr>
      <w:r>
        <w:t xml:space="preserve">3. Angaben zur Identität des Anbieters, des Emittenten einschließlich seiner Geschäftstätigkeit und eines etwaigen Garantiegebers,</w:t>
      </w:r>
    </w:p>
    <w:p>
      <w:pPr>
        <w:ind w:left="420"/>
      </w:pPr>
      <w:r>
        <w:t xml:space="preserve">4. die mit dem Wertpapier, dem Emittenten und einem etwaigen Garantiegeber verbundenen Risiken,</w:t>
      </w:r>
    </w:p>
    <w:p>
      <w:pPr>
        <w:ind w:left="420"/>
      </w:pPr>
      <w:r>
        <w:t xml:space="preserve">5. den auf Grundlage des letzten aufgestellten Jahresabschlusses berechneten Verschuldungsgrad des Emittenten und eines etwaigen Garantiegebers,</w:t>
      </w:r>
    </w:p>
    <w:p>
      <w:pPr>
        <w:ind w:left="420"/>
      </w:pPr>
      <w:r>
        <w:t xml:space="preserve">6. die Aussichten für die Kapitalrückzahlung und Erträge unter verschiedenen Marktbedingungen,</w:t>
      </w:r>
    </w:p>
    <w:p>
      <w:pPr>
        <w:ind w:left="420"/>
      </w:pPr>
      <w:r>
        <w:t xml:space="preserve">7. die mit dem Wertpapier verbundenen Kosten und Provisionen,</w:t>
      </w:r>
    </w:p>
    <w:p>
      <w:pPr>
        <w:ind w:left="420"/>
      </w:pPr>
      <w:r>
        <w:t xml:space="preserve">8. die Angebotskonditionen einschließlich des Emissionsvolumens sowie</w:t>
      </w:r>
    </w:p>
    <w:p>
      <w:pPr>
        <w:ind w:left="420"/>
      </w:pPr>
      <w:r>
        <w:t xml:space="preserve">9. die geplante Verwendung des voraussichtlichen Nettoemissionserlöses</w:t>
      </w:r>
    </w:p>
    <w:p>
      <w:r>
        <w:t xml:space="preserve">einschätzen und bestmöglich mit den Merkmalen anderer Wertpapiere vergleichen kann.</w:t>
      </w:r>
    </w:p>
    <w:p>
      <w:r>
        <w:t xml:space="preserve">(3a) Für die Emission eines elektronischen Wertpapiers im Sinne des Gesetzes über elektronische Wertpapiere oder eines digitalen und nicht verbrieften Wertpapiers, das kein elektronisches Wertpapier im Sinne des Gesetzes über elektronische Wertpapiere ist, gilt Absatz 3 mit der Maßgabe, dass</w:t>
      </w:r>
    </w:p>
    <w:p>
      <w:pPr>
        <w:ind w:left="420"/>
      </w:pPr>
      <w:r>
        <w:t xml:space="preserve">1. das Wertpapier-Informationsblatt abweichend von Absatz 3 Satz 1 bis zu vier DIN-A4-Seiten umfassen darf,</w:t>
      </w:r>
    </w:p>
    <w:p>
      <w:pPr>
        <w:ind w:left="420"/>
      </w:pPr>
      <w:r>
        <w:t xml:space="preserve">2. die Angaben nach Absatz 3 Satz 2 Nummer 2 auch Angaben zur technischen Ausgestaltung des Wertpapiers, zu den dem Wertpapier zugrunde liegenden Technologien sowie zur Übertragbarkeit und Handelbarkeit des Wertpapiers an den Finanzmärkten zu beinhalten haben,</w:t>
      </w:r>
    </w:p>
    <w:p>
      <w:pPr>
        <w:ind w:left="420"/>
      </w:pPr>
      <w:r>
        <w:t xml:space="preserve">3. die Angaben nach Absatz 3 Satz 2 Nummer 3 um die Angabe der registerführenden Stelle im Sinne des Gesetzes über elektronische Wertpapiere und die Angabe, wo und auf welche Weise der Anleger in das Register Einsicht nehmen kann, zu ergänzen sind, sofern es sich um ein elektronisches Wertpapier im Sinne des Gesetzes über elektronische Wertpapiere handelt.</w:t>
      </w:r>
    </w:p>
    <w:p>
      <w:r>
        <w:t xml:space="preserve">(4) Das Wertpapier-Informationsblatt muss den drucktechnisch hervorgehobenen Warnhinweis „Der Erwerb dieses Wertpapiers ist mit erheblichen Risiken verbunden und kann zum vollständigen Verlust des eingesetzten Vermögens führen.“ auf der ersten Seite, unmittelbar unterhalb der ersten Überschrift enthalten.</w:t>
      </w:r>
    </w:p>
    <w:p>
      <w:r>
        <w:t xml:space="preserve">(5) Das Wertpapier-Informationsblatt muss im Anschluss an die Angaben nach Absatz 3 dieser Vorschrift zudem in folgender Reihenfolge enthalten:</w:t>
      </w:r>
    </w:p>
    <w:p>
      <w:pPr>
        <w:ind w:left="420"/>
      </w:pPr>
      <w:r>
        <w:t xml:space="preserve">1. einen Hinweis darauf, dass die inhaltliche Richtigkeit des Wertpapier-Informationsblatts nicht der Prüfung durch die Bundesanstalt unterliegt,</w:t>
      </w:r>
    </w:p>
    <w:p>
      <w:pPr>
        <w:ind w:left="420"/>
      </w:pPr>
      <w:r>
        <w:t xml:space="preserve">2. einen Hinweis darauf, dass für das Wertpapier kein von der Bundesanstalt gebilligter Wertpapierprospekt hinterlegt wurde und der Anleger weitergehende Informationen unmittelbar vom Anbieter oder Emittenten des Wertpapiers erhält,</w:t>
      </w:r>
    </w:p>
    <w:p>
      <w:pPr>
        <w:ind w:left="420"/>
      </w:pPr>
      <w:r>
        <w:t xml:space="preserve">3. einen Hinweis auf den letzten Jahresabschluss des Emittenten und im Falle eines Garantiegebers zusätzlich auf den letzten Jahresabschluss des Garantiegebers sowie darauf, wo und wie diese Jahresabschlüsse erhältlich sind,</w:t>
      </w:r>
    </w:p>
    <w:p>
      <w:pPr>
        <w:ind w:left="420"/>
      </w:pPr>
      <w:r>
        <w:t xml:space="preserve">4. einen Hinweis darauf, dass Ansprüche auf der Grundlage einer in dem Wertpapier-Informationsblatt enthaltenen Angabe nur dann bestehen können, wenn die Angabe irreführend oder unrichtig ist oder der Warnhinweis des Absatzes 4 nicht enthalten ist und wenn das Erwerbsgeschäft nach Veröffentlichung des Wertpapier-Informationsblatts und während der Dauer des öffentlichen Angebots, spätestens jedoch innerhalb von sechs Monaten nach dem ersten öffentlichen Angebot der Wertpapiere im Inland, abgeschlossen wurde.</w:t>
      </w:r>
    </w:p>
    <w:p>
      <w:r>
        <w:t xml:space="preserve">(6) Während der Dauer des öffentlichen Angebots ist der letzte Jahresabschluss des Emittenten den Anlegern auf Anforderung kostenlos in Textform zur Verfügung zu stellen. Ist der Emittent nach den handelsrechtlichen Vorschriften nicht verpflichtet, einen Jahresabschluss offenzulegen, ist der Jahresabschluss dem Wertpapier-Informationsblatt als Anlage beizufügen und mit diesem gemäß Absatz 1 Satz 1 zu hinterlegen und zu veröffentlichen. Im Falle eines Garantiegebers gelten die Sätze 1 und 2 entsprechend.</w:t>
      </w:r>
    </w:p>
    <w:p>
      <w:r>
        <w:t xml:space="preserve">(7) Der Anleger muss die in Absatz 3 dieser Vorschrift aufgezählten Informationen verstehen können, ohne hierfür zusätzliche Dokumente heranziehen zu müssen. Die Angaben in dem Wertpapier-Informationsblatt sind kurz zu halten und in allgemein verständlicher Sprache abzufassen. Sie müssen redlich und eindeutig und dürfen nicht irreführend sein. Das Wertpapier-Informationsblatt darf sich jeweils nur auf ein bestimmtes Wertpapier beziehen und keine werbenden oder sonstigen Informationen enthalten, die nicht dem in Absatz 3 genannten Zweck dienen.</w:t>
      </w:r>
    </w:p>
    <w:p>
      <w:r>
        <w:t xml:space="preserve">(8) Tritt nach der Gestattung und vor dem endgültigen Schluss des öffentlichen Angebots ein wichtiger neuer Umstand ein oder wird eine wesentliche Unrichtigkeit in Bezug auf die im Wertpapier-Informationsblatt enthaltenen Angaben festgestellt, die die Beurteilung des Wertpapiers beeinflussen könnten, so sind die in dem Wertpapier-Informationsblatt enthaltenen Angaben während der Dauer des öffentlichen Angebots unverzüglich zu aktualisieren und ist der Bundesanstalt die aktualisierte Fassung des Wertpapier-Informationsblatts zum Zweck der Hinterlegung unverzüglich zu übermitteln. Das Datum der letzten Aktualisierung sowie die Zahl der seit der erstmaligen Erstellung des Wertpapier-Informationsblatts vorgenommenen Aktualisierungen sind im Wertpapier-Informationsblatt zu nennen. Das aktualisierte Wertpapier-Informationsblatt ist unverzüglich entsprechend Artikel 21 Absatz 2 und 3 Unterabsatz 1 der Verordnung (EU) 2017/1129 zu veröffentlichen. § 5 Absatz 1 und 3 Satz 2 gilt entsprechend.</w:t>
      </w:r>
    </w:p>
    <w:p>
      <w:r>
        <w:t xml:space="preserve">(9) Das Bundesministerium der Finanzen kann durch Rechtsverordnung, die nicht der Zustimmung des Bundesrates bedarf, im Einvernehmen mit dem Bundesministerium der Justiz und für Verbraucherschutz nähere Bestimmungen zu Inhalt und Aufbau der Wertpapier-Informationsblätter erlassen. Das Bundesministerium der Finanzen kann die Ermächtigung durch Rechtsverordnung auf die Bundesanstalt übertragen.</w:t>
      </w:r>
    </w:p>
    <w:p>
      <w:r>
        <w:rPr>
          <w:color w:val="555555"/>
          <w:sz w:val="17"/>
        </w:rPr>
        <w:t xml:space="preserve">Zitiervorschlag: § 4 WpPG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https://recht.nulegal.eu/gesetze/WpPG/4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