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WpPG — Übergangsbestimmungen zum Gesetz zur weiteren Ausführung der EU-Prospektverordnung und zur Änderung von Finanzmarktgesetzen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Prospekte, die vor dem 21. Juli 2019 gebilligt wurden, unterliegen bis zum Ablauf ihrer Gültigkeit weiterhin dem Wertpapierprospektgesetz in der bis zum 20. Juli 2019 geltenden Fassung.</w:t>
      </w:r>
    </w:p>
    <w:p>
      <w:r>
        <w:t xml:space="preserve">(2) Wertpapier-Informationsblätter, deren Veröffentlichung vor dem 21. Juli 2019 gestattet wurde, unterliegen weiterhin dem Wertpapierprospektgesetz in der bis zum 20. Juli 2019 geltenden Fassung. Anträge auf Gestattung der Veröffentlichung von Wertpapier-Informationsblättern, die vor dem 21. Juli 2019 gestellt wurden und bis zum 20. Juli 2019 einschließlich nicht beschieden sind, gelten als Anträge auf Gestattung der Veröffentlichung nach § 4 in der nach dem 21. Juli 2019 geltenden Fassung.</w:t>
      </w:r>
    </w:p>
    <w:p>
      <w:r>
        <w:rPr>
          <w:color w:val="555555"/>
          <w:sz w:val="17"/>
        </w:rPr>
        <w:t xml:space="preserve">Zitiervorschlag: § 28 WpPG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