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WpPG — Maßnahmen bei Verstößen</w:t>
      </w:r>
    </w:p>
    <w:p>
      <w:r>
        <w:rPr>
          <w:color w:val="555555"/>
          <w:sz w:val="18"/>
        </w:rPr>
        <w:t xml:space="preserve">Wertpapierprospektgesetz</w:t>
      </w:r>
    </w:p>
    <w:p>
      <w:r>
        <w:rPr>
          <w:color w:val="555555"/>
          <w:sz w:val="18"/>
        </w:rPr>
        <w:t xml:space="preserve">Stand: 21.12.2024 (konsolidierte Textfassung, kein amtliches Inkrafttretensdatum)</w:t>
      </w:r>
    </w:p>
    <w:p>
      <w:r>
        <w:t xml:space="preserve">(1) Im Falle eines Verstoßes gegen die in § 24 Absatz 1, 3 oder 4 genannten Vorschriften kann die Bundesanstalt zur Verhinderung weiterer Verstöße</w:t>
      </w:r>
    </w:p>
    <w:p>
      <w:pPr>
        <w:ind w:left="420"/>
      </w:pPr>
      <w:r>
        <w:t xml:space="preserve">1. auf ihrer Internetseite gemäß den Vorgaben des Artikels 42 der Verordnung (EU) 2017/1129 eine Bekanntgabe des Verstoßes unter Nennung der natürlichen oder juristischen Person oder der Personenvereinigung, die den Verstoß begangen hat, sowie der Art des Verstoßes veröffentlichen und</w:t>
      </w:r>
    </w:p>
    <w:p>
      <w:pPr>
        <w:ind w:left="420"/>
      </w:pPr>
      <w:r>
        <w:t xml:space="preserve">2. gegenüber der für den Verstoß verantwortlichen natürlichen oder juristischen Person oder Personenvereinigung anordnen, dass die den Verstoß begründenden Handlungen oder Verhaltensweisen dauerhaft einzustellen sind.</w:t>
      </w:r>
    </w:p>
    <w:p>
      <w:r>
        <w:t xml:space="preserve">(2) Im Falle eines Verstoßes gegen die in § 24a Absatz 2 oder 3 genannten Vorschriften kann die Bundesanstalt zur Verhinderung weiterer Verstöße</w:t>
      </w:r>
    </w:p>
    <w:p>
      <w:pPr>
        <w:ind w:left="420"/>
      </w:pPr>
      <w:r>
        <w:t xml:space="preserve">1. auf ihrer Internetseite nach den Vorgaben des Artikels 52 der Verordnung (EU) 2023/2631 eine Bekanntgabe des Verstoßes unter Nennung der natürlichen oder juristischen Person oder der Personenvereinigung, die den Verstoß begangen hat, sowie der Art des Verstoßes veröffentlichen,</w:t>
      </w:r>
    </w:p>
    <w:p>
      <w:pPr>
        <w:ind w:left="420"/>
      </w:pPr>
      <w:r>
        <w:t xml:space="preserve">2. gegenüber der für den Verstoß verantwortlichen natürlichen oder juristischen Person oder Personenvereinigung anordnen, dass diese den Verstoß sowie die Art des Verstoßes auf ihrer Internetseite bekanntzumachen hat,</w:t>
      </w:r>
    </w:p>
    <w:p>
      <w:pPr>
        <w:ind w:left="420"/>
      </w:pPr>
      <w:r>
        <w:t xml:space="preserve">3. gegenüber der für den Verstoß verantwortlichen natürlichen oder juristischen Person oder Personenvereinigung anordnen, dass die den Verstoß begründenden Handlungen oder Verhaltensweisen dauerhaft einzustellen sind, und</w:t>
      </w:r>
    </w:p>
    <w:p>
      <w:pPr>
        <w:ind w:left="420"/>
      </w:pPr>
      <w:r>
        <w:t xml:space="preserve">4. gegenüber der für den Verstoß verantwortlichen natürlichen oder juristischen Person oder Personenvereinigung das öffentliche Angebot europäischer grüner Anleihen für einen Zeitraum von bis zu einem Jahr untersagen.</w:t>
      </w:r>
    </w:p>
    <w:p>
      <w:r>
        <w:t xml:space="preserve">(3) Die Bekanntmachung nach Absatz 1 Nummer 1 und Absatz 2 Nummer 1 darf nur diejenigen personenbezogenen Daten enthalten, die zur Identifizierung des Anbieters oder Emittenten erforderlich sind. Die Bekanntgabe nach Absatz 1 Nummer 1 und nach Absatz 2 Nummer 1 ist nach fünf Jahren zu löschen.</w:t>
      </w:r>
    </w:p>
    <w:p>
      <w:r>
        <w:rPr>
          <w:color w:val="555555"/>
          <w:sz w:val="17"/>
        </w:rPr>
        <w:t xml:space="preserve">Zitiervorschlag: § 25 WpPG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https://recht.nulegal.eu/gesetze/WpPG/25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