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WpPG — Bußgeldvorschriften</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Ordnungswidrig handelt, wer vorsätzlich oder leichtfertig</w:t>
      </w:r>
    </w:p>
    <w:p>
      <w:pPr>
        <w:ind w:left="420"/>
      </w:pPr>
      <w:r>
        <w:t xml:space="preserve">1. entgegen § 4 Absatz 1 Satz 1 ein Wertpapier anbietet,</w:t>
      </w:r>
    </w:p>
    <w:p>
      <w:pPr>
        <w:ind w:left="420"/>
      </w:pPr>
      <w:r>
        <w:t xml:space="preserve">2. entgegen § 4 Absatz 2 Satz 1 ein Wertpapier-Informationsblatt veröffentlicht,</w:t>
      </w:r>
    </w:p>
    <w:p>
      <w:pPr>
        <w:ind w:left="420"/>
      </w:pPr>
      <w:r>
        <w:t xml:space="preserve">3. entgegen § 4 Absatz 8 Satz 1</w:t>
      </w:r>
    </w:p>
    <w:p>
      <w:pPr>
        <w:ind w:left="780"/>
      </w:pPr>
      <w:r>
        <w:t xml:space="preserve">a) eine Angabe nicht, nicht richtig, nicht vollständig oder nicht rechtzeitig aktualisiert oder</w:t>
      </w:r>
    </w:p>
    <w:p>
      <w:pPr>
        <w:ind w:left="780"/>
      </w:pPr>
      <w:r>
        <w:t xml:space="preserve">b) eine aktualisierte Fassung des Wertpapier-Informationsblatts nicht oder nicht rechtzeitig übermittelt,</w:t>
      </w:r>
    </w:p>
    <w:p>
      <w:pPr>
        <w:ind w:left="420"/>
      </w:pPr>
      <w:r>
        <w:t xml:space="preserve">4. entgegen § 4 Absatz 8 Satz 2 das dort genannte Datum nicht oder nicht richtig nennt,</w:t>
      </w:r>
    </w:p>
    <w:p>
      <w:pPr>
        <w:ind w:left="420"/>
      </w:pPr>
      <w:r>
        <w:t xml:space="preserve">5. entgegen § 4 Absatz 8 Satz 3 oder § 5 Absatz 3 Satz 1 ein Wertpapier-Informationsblatt nicht, nicht richtig, nicht vollständig, nicht in der vorgeschriebenen Weise oder nicht rechtzeitig veröffentlicht,</w:t>
      </w:r>
    </w:p>
    <w:p>
      <w:pPr>
        <w:ind w:left="420"/>
      </w:pPr>
      <w:r>
        <w:t xml:space="preserve">6. entgegen § 5 Absatz 3 Satz 2, auch in Verbindung mit § 4 Absatz 8 Satz 4, nicht sicherstellt, dass ein Wertpapier-Informationsblatt zugänglich ist,</w:t>
      </w:r>
    </w:p>
    <w:p>
      <w:pPr>
        <w:ind w:left="420"/>
      </w:pPr>
      <w:r>
        <w:t xml:space="preserve">7. entgegen § 7 Absatz 1 nicht dafür sorgt, dass ein dort genannter Hinweis erfolgt,</w:t>
      </w:r>
    </w:p>
    <w:p>
      <w:pPr>
        <w:ind w:left="420"/>
      </w:pPr>
      <w:r>
        <w:t xml:space="preserve">8. entgegen § 7 Absatz 2 nicht dafür sorgt, dass die Werbung klar als solche erkennbar ist,</w:t>
      </w:r>
    </w:p>
    <w:p>
      <w:pPr>
        <w:ind w:left="420"/>
      </w:pPr>
      <w:r>
        <w:t xml:space="preserve">9. entgegen § 7 Absatz 3 nicht dafür sorgt, dass eine Information weder unrichtig noch irreführend ist oder eine Übereinstimmung mit einer dort genannten Information vorliegt,</w:t>
      </w:r>
    </w:p>
    <w:p>
      <w:pPr>
        <w:ind w:left="420"/>
      </w:pPr>
      <w:r>
        <w:t xml:space="preserve">10. entgegen § 7 Absatz 4 nicht dafür sorgt, dass eine Information mit der im Wertpapier-Informationsblatt enthaltenen Information übereinstimmt, oder</w:t>
      </w:r>
    </w:p>
    <w:p>
      <w:pPr>
        <w:ind w:left="420"/>
      </w:pPr>
      <w:r>
        <w:t xml:space="preserve">11. entgegen § 7 Absatz 5 eine Information in das Wertpapier-Informationsblatt oder in eine Aktualisierung nicht, nicht richtig, nicht vollständig oder nicht rechtzeitig aufnimmt.</w:t>
      </w:r>
    </w:p>
    <w:p>
      <w:r>
        <w:t xml:space="preserve">(2) Ordnungswidrig handelt, wer vorsätzlich oder fahrlässig einer vollziehbaren Anordnung nach</w:t>
      </w:r>
    </w:p>
    <w:p>
      <w:pPr>
        <w:ind w:left="420"/>
      </w:pPr>
      <w:r>
        <w:t xml:space="preserve">1. § 18 Absatz 2 Nummer 1, Absatz 4 Satz 1 Nummer 5 oder 6, Satz 2 Nummer 2, Satz 3 Nummer 2 oder Satz 4 Nummer 1, Absatz 5 Satz 2 Nummer 2 oder Absatz 10 Satz 1 oder</w:t>
      </w:r>
    </w:p>
    <w:p>
      <w:pPr>
        <w:ind w:left="420"/>
      </w:pPr>
      <w:r>
        <w:t xml:space="preserve">2. § 18 Absatz 2 Nummer 2, Absatz 4 Satz 1 Nummer 1 bis 3 oder 4, Satz 2 Nummer 1, Satz 3 Nummer 1 oder Satz 4 Nummer 2 oder Absatz 5 Satz 2 Nummer 1</w:t>
      </w:r>
    </w:p>
    <w:p>
      <w:r>
        <w:t xml:space="preserve">zuwiderhandelt.</w:t>
      </w:r>
    </w:p>
    <w:p>
      <w:r>
        <w:t xml:space="preserve">(3) Ordnungswidrig handelt, wer gegen die Verordnung (EU) 2017/1129 in der Fassung vom 23. Oktober 2024 verstößt, indem er vorsätzlich oder leichtfertig</w:t>
      </w:r>
    </w:p>
    <w:p>
      <w:pPr>
        <w:ind w:left="420"/>
      </w:pPr>
      <w:r>
        <w:t xml:space="preserve">1. entgegen Artikel 3 Absatz 1 ein Wertpapier öffentlich anbietet,</w:t>
      </w:r>
    </w:p>
    <w:p>
      <w:pPr>
        <w:ind w:left="420"/>
      </w:pPr>
      <w:r>
        <w:t xml:space="preserve">2. entgegen Artikel 5 Absatz 2 ein Wertpapier an nicht qualifizierte Anleger weiterveräußert,</w:t>
      </w:r>
    </w:p>
    <w:p>
      <w:pPr>
        <w:ind w:left="420"/>
      </w:pPr>
      <w:r>
        <w:t xml:space="preserve">3. entgegen Artikel 8 Absatz 5 Unterabsatz 1 die endgültigen Bedingungen nicht, nicht in der vorgeschriebenen Weise oder nicht rechtzeitig der Öffentlichkeit zur Verfügung stellt oder sie nicht oder nicht rechtzeitig bei der Bundesanstalt hinterlegt,</w:t>
      </w:r>
    </w:p>
    <w:p>
      <w:pPr>
        <w:ind w:left="420"/>
      </w:pPr>
      <w:r>
        <w:t xml:space="preserve">4. entgegen Artikel 9 Absatz 4 das einheitliche Registrierungsformular oder eine Änderung der Öffentlichkeit nicht oder nicht rechtzeitig zur Verfügung stellt,</w:t>
      </w:r>
    </w:p>
    <w:p>
      <w:pPr>
        <w:ind w:left="420"/>
      </w:pPr>
      <w:r>
        <w:t xml:space="preserve">5. entgegen Artikel 9 Absatz 9 Unterabsatz 2 Satz 2 oder Unterabsatz 3 eine Änderung des einheitlichen Registrierungsformulars bei der Bundesanstalt nicht oder nicht rechtzeitig hinterlegt,</w:t>
      </w:r>
    </w:p>
    <w:p>
      <w:pPr>
        <w:ind w:left="420"/>
      </w:pPr>
      <w:r>
        <w:t xml:space="preserve">6. einer vollziehbaren Anordnung nach Artikel 9 Absatz 9 Unterabsatz 4 Satz 1 zuwiderhandelt,</w:t>
      </w:r>
    </w:p>
    <w:p>
      <w:pPr>
        <w:ind w:left="420"/>
      </w:pPr>
      <w:r>
        <w:t xml:space="preserve">7. entgegen Artikel 9 Absatz 12 Unterabsatz 3 Buchstabe b das einheitliche Registrierungsformular nicht oder nicht rechtzeitig bei der Bundesanstalt hinterlegt oder es nicht oder nicht rechtzeitig dem Handelsregister nach § 8b des Handelsgesetzbuches zur Verfügung stellt,</w:t>
      </w:r>
    </w:p>
    <w:p>
      <w:pPr>
        <w:ind w:left="420"/>
      </w:pPr>
      <w:r>
        <w:t xml:space="preserve">8. entgegen Artikel 10 Absatz 1 Unterabsatz 2 bei der Bundesanstalt einen Nachtrag nicht, nicht richtig, nicht vollständig oder nicht rechtzeitig zur Billigung vorlegt,</w:t>
      </w:r>
    </w:p>
    <w:p>
      <w:pPr>
        <w:ind w:left="420"/>
      </w:pPr>
      <w:r>
        <w:t xml:space="preserve">9. entgegen Artikel 10 Absatz 2 das gebilligte Registrierungsformular der Öffentlichkeit nicht, nicht in der vorgeschriebenen Weise oder nicht rechtzeitig zur Verfügung stellt,</w:t>
      </w:r>
    </w:p>
    <w:p>
      <w:pPr>
        <w:ind w:left="420"/>
      </w:pPr>
      <w:r>
        <w:t xml:space="preserve">10. entgegen Artikel 19 Absatz 2 Satz 1 die Zugänglichkeit einer mittels Verweis in den Prospekt aufgenommenen Information nicht gewährleistet,</w:t>
      </w:r>
    </w:p>
    <w:p>
      <w:pPr>
        <w:ind w:left="420"/>
      </w:pPr>
      <w:r>
        <w:t xml:space="preserve">11. entgegen Artikel 19 Absatz 3 der Bundesanstalt eine dort genannte Information nicht, nicht richtig, nicht vollständig, nicht in der vorgeschriebenen Weise oder nicht rechtzeitig vorlegt,</w:t>
      </w:r>
    </w:p>
    <w:p>
      <w:pPr>
        <w:ind w:left="420"/>
      </w:pPr>
      <w:r>
        <w:t xml:space="preserve">12. entgegen Artikel 20 Absatz 1 einen Prospekt veröffentlicht,</w:t>
      </w:r>
    </w:p>
    <w:p>
      <w:pPr>
        <w:ind w:left="420"/>
      </w:pPr>
      <w:r>
        <w:t xml:space="preserve">13. entgegen Artikel 21 Absatz 1 oder 3 Unterabsatz 1 einen Prospekt nicht, nicht richtig, nicht vollständig, nicht in der vorgeschriebenen Weise oder nicht rechtzeitig der Öffentlichkeit zur Verfügung stellt,</w:t>
      </w:r>
    </w:p>
    <w:p>
      <w:pPr>
        <w:ind w:left="420"/>
      </w:pPr>
      <w:r>
        <w:t xml:space="preserve">14. entgegen Artikel 21 Absatz 3 Unterabsatz 2 ein dort genanntes Dokument, einen Nachtrag, eine endgültige Bedingung oder eine Kopie der Zusammenfassung nicht oder nicht rechtzeitig zur Verfügung stellt,</w:t>
      </w:r>
    </w:p>
    <w:p>
      <w:pPr>
        <w:ind w:left="420"/>
      </w:pPr>
      <w:r>
        <w:t xml:space="preserve">15. entgegen Artikel 21 Absatz 11 Satz 1 oder 2 eine kostenlose Version des Prospekts oder eine gedruckte Fassung nicht oder nicht rechtzeitig zur Verfügung stellt,</w:t>
      </w:r>
    </w:p>
    <w:p>
      <w:pPr>
        <w:ind w:left="420"/>
      </w:pPr>
      <w:r>
        <w:t xml:space="preserve">16. entgegen Artikel 22 Absatz 5 eine Mitteilung nicht oder nicht rechtzeitig macht oder eine Information nicht oder nicht rechtzeitig aufnimmt,</w:t>
      </w:r>
    </w:p>
    <w:p>
      <w:pPr>
        <w:ind w:left="420"/>
      </w:pPr>
      <w:r>
        <w:t xml:space="preserve">17. entgegen Artikel 23 Absatz 1, auch in Verbindung mit Artikel 8 Absatz 10, einen Nachtrag nicht, nicht richtig, nicht vollständig, nicht in der vorgeschriebenen Weise oder nicht rechtzeitig veröffentlicht oder</w:t>
      </w:r>
    </w:p>
    <w:p>
      <w:pPr>
        <w:ind w:left="420"/>
      </w:pPr>
      <w:r>
        <w:t xml:space="preserve">18. entgegen Artikel 23 Absatz 4a einen Nachtrag verwendet.</w:t>
      </w:r>
    </w:p>
    <w:p>
      <w:r>
        <w:t xml:space="preserve">(4) Ordnungswidrig handelt, wer vorsätzlich oder leichtfertig</w:t>
      </w:r>
    </w:p>
    <w:p>
      <w:pPr>
        <w:ind w:left="420"/>
      </w:pPr>
      <w:r>
        <w:t xml:space="preserve">1. ohne Prospekt Wertpapiere später weiterveräußert oder als Finanzintermediär endgültig platziert, ohne dass die Voraussetzungen für eine prospektfreie Weiterveräußerung oder Platzierung nach Artikel 5 Absatz 1 Unterabsatz 1 Satz 2 oder Unterabsatz 2 der Verordnung (EU) 2017/1129 in der Fassung vom 23. Oktober 2024 vorliegen,</w:t>
      </w:r>
    </w:p>
    <w:p>
      <w:pPr>
        <w:ind w:left="420"/>
      </w:pPr>
      <w:r>
        <w:t xml:space="preserve">2. einen Prospekt veröffentlicht, der die Informationen und Angaben nach Artikel 6 der Verordnung (EU) 2017/1129 in der Fassung vom 23. Oktober 2024 nicht oder nicht in der vorgeschriebenen Weise enthält,</w:t>
      </w:r>
    </w:p>
    <w:p>
      <w:pPr>
        <w:ind w:left="420"/>
      </w:pPr>
      <w:r>
        <w:t xml:space="preserve">3. einen Prospekt veröffentlicht, dessen Zusammenfassung die Informationen und Warnhinweise nach Artikel 7 Absatz 1 bis 8, 10, 11 und 12a Unterabsatz 1 bis 3 der Verordnung (EU) 2017/1129 in der Fassung vom 23. Oktober 2024 nicht oder nicht in der vorgeschriebenen Weise enthält,</w:t>
      </w:r>
    </w:p>
    <w:p>
      <w:pPr>
        <w:ind w:left="420"/>
      </w:pPr>
      <w:r>
        <w:t xml:space="preserve">4. endgültige Bedingungen, auch als Teil eines Basisprospekts oder Nachtrags, der Öffentlichkeit zur Verfügung stellt, die nicht oder nicht in der vorgeschriebenen Weise nach Artikel 8 Absatz 3 der Verordnung (EU) 2017/1129 in der Fassung vom 23. Oktober 2024 festlegen, welche der in dem Basisprospekt enthaltenen Optionen in Bezug auf die Angaben, die nach der entsprechenden Wertpapierbeschreibung erforderlich sind, für die einzelne Emission gelten,</w:t>
      </w:r>
    </w:p>
    <w:p>
      <w:pPr>
        <w:ind w:left="420"/>
      </w:pPr>
      <w:r>
        <w:t xml:space="preserve">5. endgültige Bedingungen der Öffentlichkeit zur Verfügung stellt, die nicht den Anforderungen nach Artikel 8 Absatz 4 Unterabsatz 1 der Verordnung (EU) 2017/1129 in der Fassung vom 23. Oktober 2024 an die Präsentationsform oder an die Darlegung entsprechen,</w:t>
      </w:r>
    </w:p>
    <w:p>
      <w:pPr>
        <w:ind w:left="420"/>
      </w:pPr>
      <w:r>
        <w:t xml:space="preserve">6. endgültige Bedingungen, auch als Teil eines Basisprospekts oder Nachtrags, der Öffentlichkeit zur Verfügung stellt, die nicht den Anforderungen des Artikels 8 Absatz 4 Unterabsatz 2 der Verordnung (EU) 2017/1129 in der Fassung vom 23. Oktober 2024 entsprechen, indem sie Angaben enthalten, die nicht die Wertpapierbeschreibung betreffen, oder als Nachtrag zum Basisprospekt dienen,</w:t>
      </w:r>
    </w:p>
    <w:p>
      <w:pPr>
        <w:ind w:left="420"/>
      </w:pPr>
      <w:r>
        <w:t xml:space="preserve">7. endgültige Bedingungen, auch als Teil eines Basisprospekts oder Nachtrags, der Öffentlichkeit zur Verfügung stellt, die eine eindeutige und deutlich sichtbare Erklärung nach Artikel 8 Absatz 5 Unterabsatz 2 der Verordnung (EU) 2017/1129 in der Fassung vom 23. Oktober 2024 nicht oder nicht vollständig enthalten,</w:t>
      </w:r>
    </w:p>
    <w:p>
      <w:pPr>
        <w:ind w:left="420"/>
      </w:pPr>
      <w:r>
        <w:t xml:space="preserve">8. eine Zusammenfassung für die einzelne Emission veröffentlicht, die nicht nach Artikel 8 Absatz 9 Unterabsatz 1 erster Teilsatz der Verordnung (EU) 2017/1129 in der Fassung vom 23. Oktober 2024 den Anforderungen des Artikels 8 der Verordnung (EU) 2017/1129 in der Fassung vom 23. Oktober 2024 an endgültige Bedingungen entspricht,</w:t>
      </w:r>
    </w:p>
    <w:p>
      <w:pPr>
        <w:ind w:left="420"/>
      </w:pPr>
      <w:r>
        <w:t xml:space="preserve">9. endgültige Bedingungen, auch als Teil eines Basisprospekts oder Nachtrags, der Öffentlichkeit zur Verfügung stellt, denen nicht nach Artikel 8 Absatz 9 Unterabsatz 1 zweiter Teilsatz der Verordnung (EU) 2017/1129 in der Fassung vom 23. Oktober 2024 die Zusammenfassung für die einzelne Emission angefügt ist,</w:t>
      </w:r>
    </w:p>
    <w:p>
      <w:pPr>
        <w:ind w:left="420"/>
      </w:pPr>
      <w:r>
        <w:t xml:space="preserve">10. endgültige Bedingungen, auch als Teil eines Basisprospekts oder Nachtrags, der Öffentlichkeit zur Verfügung stellt, denen eine Zusammenfassung für die einzelne Emission angefügt ist, die nicht den in Artikel 8 Absatz 9 Unterabsatz 2 der Verordnung (EU) 2017/1129 in der Fassung vom 23. Oktober 2024 genannten Anforderungen entspricht,</w:t>
      </w:r>
    </w:p>
    <w:p>
      <w:pPr>
        <w:ind w:left="420"/>
      </w:pPr>
      <w:r>
        <w:t xml:space="preserve">11. endgültige Bedingungen, auch als Teil eines Basisprospekts oder Nachtrags, der Öffentlichkeit zur Verfügung stellt, die auf der ersten Seite nicht den in Artikel 8 Absatz 11 Satz 2 der Verordnung (EU) 2017/1129 in der Fassung vom 23. Oktober 2024 genannten Warnhinweis enthalten,</w:t>
      </w:r>
    </w:p>
    <w:p>
      <w:pPr>
        <w:ind w:left="420"/>
      </w:pPr>
      <w:r>
        <w:t xml:space="preserve">12. ein einheitliches Registrierungsformular ohne vorherige Billigung durch die Bundesanstalt veröffentlicht, ohne dass die Voraussetzungen nach Artikel 9 Absatz 2 der Verordnung (EU) 2017/1129 in der Fassung vom 23. Oktober 2024 für die Möglichkeit einer Hinterlegung ohne vorherige Billigung vorliegen,</w:t>
      </w:r>
    </w:p>
    <w:p>
      <w:pPr>
        <w:ind w:left="420"/>
      </w:pPr>
      <w:r>
        <w:t xml:space="preserve">13. einen Prospekt, auch unter Verwendung eines Registrierungsformulars oder eines einheitlichen Registrierungsformulars als Prospektbestandteil, veröffentlicht, der die nach Artikel 11 Absatz 1 der Verordnung (EU) 2017/1129 in der Fassung vom 23. Oktober 2024 vorgeschriebenen Angaben und Erklärungen nicht oder nicht in der vorgeschriebenen Weise enthält,</w:t>
      </w:r>
    </w:p>
    <w:p>
      <w:pPr>
        <w:ind w:left="420"/>
      </w:pPr>
      <w:r>
        <w:t xml:space="preserve">14. einen EU-Folgeprospekt veröffentlicht, ohne zu den in Artikel 14a Absatz 1 Unterabsatz 1 der Verordnung (EU) 2017/1129 in der Fassung vom 23. Oktober 2024 genannten Personen zu gehören, oder einen EU-Folgeprospekt veröffentlicht, der die nach Artikel 14a Absatz 2 oder 3 der Verordnung (EU) 2017/1129 in der Fassung vom 23. Oktober 2024 vorgeschriebenen Angaben nicht oder nicht in der vorgeschriebenen Weise enthält,</w:t>
      </w:r>
    </w:p>
    <w:p>
      <w:pPr>
        <w:ind w:left="420"/>
      </w:pPr>
      <w:r>
        <w:t xml:space="preserve">15. einen EU-Wachstumsemissionsprospekt veröffentlicht, ohne zu den in Artikel 15a Absatz 1 Unterabsatz 1 der Verordnung (EU) 2017/1129 in der Fassung vom 23. Oktober 2024 genannten Personen zu gehören, oder einen EU-Wachstumsemissionsprospekt veröffentlicht, der die nach Artikel 15a Absatz 2 oder 3 der Verordnung (EU) 2017/1129 in der Fassung vom 23. Oktober 2024 vorgeschriebenen Angaben nicht oder nicht in der vorgeschriebenen Weise enthält,</w:t>
      </w:r>
    </w:p>
    <w:p>
      <w:pPr>
        <w:ind w:left="420"/>
      </w:pPr>
      <w:r>
        <w:t xml:space="preserve">16. einen Prospekt veröffentlicht, der die Risikofaktoren nach Artikel 16 Absatz 1 bis 3 der Verordnung (EU) 2017/1129 in der Fassung vom 23. Oktober 2024 nicht oder nicht in der vorgeschriebenen Weise darstellt,</w:t>
      </w:r>
    </w:p>
    <w:p>
      <w:pPr>
        <w:ind w:left="420"/>
      </w:pPr>
      <w:r>
        <w:t xml:space="preserve">17. einen Prospekt veröffentlicht, der die nach Artikel 17 Absatz 1 Buchstabe b der Verordnung (EU) 2017/1129 in der Fassung vom 23. Oktober 2024 anzugebenden Informationen nicht enthält,</w:t>
      </w:r>
    </w:p>
    <w:p>
      <w:pPr>
        <w:ind w:left="420"/>
      </w:pPr>
      <w:r>
        <w:t xml:space="preserve">18. als Anbieter oder Zulassungsantragsteller den endgültigen Emissionspreis oder das endgültige Emissionsvolumen nicht spätestens am Tag der Veröffentlichung bei der Bundesanstalt nach Artikel 17 Absatz 2 erste Alternative der Verordnung (EU) 2017/1129 in der Fassung vom 23. Oktober 2024 hinterlegt,</w:t>
      </w:r>
    </w:p>
    <w:p>
      <w:pPr>
        <w:ind w:left="420"/>
      </w:pPr>
      <w:r>
        <w:t xml:space="preserve">19. als Anbieter den endgültigen Emissionspreis oder das endgültige Emissionsvolumen nicht, nicht richtig, nicht in der nach Artikel 17 Absatz 2 zweite Alternative in Verbindung mit Artikel 21 Absatz 2 der Verordnung (EU) 2017/1129 in der Fassung vom 23. Oktober 2024 vorgeschriebenen Weise oder nicht unverzüglich nach der Festlegung des endgültigen Emissionspreises und Emissionsvolumens der Öffentlichkeit zur Verfügung stellt,</w:t>
      </w:r>
    </w:p>
    <w:p>
      <w:pPr>
        <w:ind w:left="420"/>
      </w:pPr>
      <w:r>
        <w:t xml:space="preserve">20. nach der Verordnung (EU) 2017/1129 in der Fassung vom 23. Oktober 2024 für einen Prospekt oder seine Bestandteile vorgeschriebene Informationen und Angaben nicht in den Prospekt aufnimmt, ohne dass die Voraussetzungen nach Artikel 18 der Verordnung (EU) 2017/1129 in der Fassung vom 23. Oktober 2024 für eine Nichtaufnahme vorliegen,</w:t>
      </w:r>
    </w:p>
    <w:p>
      <w:pPr>
        <w:ind w:left="420"/>
      </w:pPr>
      <w:r>
        <w:t xml:space="preserve">21. eine Information mittels Verweis in den Prospekt aufnimmt, die einer der in Artikel 19 Absatz 1 der Verordnung (EU) 2017/1129 in der Fassung vom 23. Oktober 2024 genannten Anforderungen nicht entspricht,</w:t>
      </w:r>
    </w:p>
    <w:p>
      <w:pPr>
        <w:ind w:left="420"/>
      </w:pPr>
      <w:r>
        <w:t xml:space="preserve">22. als Emittent, Anbieter oder Zulassungsantragsteller eine gesonderte Kopie der Zusammenfassung zur Verfügung stellt, die nicht nach Artikel 21 Absatz 3 Unterabsatz 3 der Verordnung (EU) 2017/1129 in der Fassung vom 23. Oktober 2024 klar angibt, auf welchen Prospekt sie sich bezieht,</w:t>
      </w:r>
    </w:p>
    <w:p>
      <w:pPr>
        <w:ind w:left="420"/>
      </w:pPr>
      <w:r>
        <w:t xml:space="preserve">23. als Emittent, Anbieter oder Zulassungsantragsteller für den Zugang zu einem gebilligten Prospekt eine Zugangsbeschränkung nach Artikel 21 Absatz 4 der Verordnung (EU) 2017/1129 in der Fassung vom 23. Oktober 2024 vorsieht,</w:t>
      </w:r>
    </w:p>
    <w:p>
      <w:pPr>
        <w:ind w:left="420"/>
      </w:pPr>
      <w:r>
        <w:t xml:space="preserve">24. als Emittent, Anbieter oder Zulassungsantragsteller einen gebilligten Prospekt nach seiner Veröffentlichung gemäß Artikel 21 Absatz 7 Unterabsatz 1 der Verordnung (EU) 2017/1129 in der Fassung vom 23. Oktober 2024 nicht mindestens zehn Jahre lang auf den in Artikel 21 Absatz 2 der Verordnung (EU) 2017/1129 in der Fassung vom 23. Oktober 2024 genannten Websites in elektronischer Form öffentlich zugänglich macht,</w:t>
      </w:r>
    </w:p>
    <w:p>
      <w:pPr>
        <w:ind w:left="420"/>
      </w:pPr>
      <w:r>
        <w:t xml:space="preserve">25. als Emittent, Anbieter oder Zulassungsantragsteller Hyperlinks für die mittels Verweis in den Prospekt aufgenommenen Informationen, Nachträge und/oder endgültigen Bedingungen für den Prospekt verwendet und diese nicht gemäß Artikel 21 Absatz 7 Unterabsatz 2 der Verordnung (EU) 2017/1129 in der Fassung vom 23. Oktober 2024 funktionsfähig hält,</w:t>
      </w:r>
    </w:p>
    <w:p>
      <w:pPr>
        <w:ind w:left="420"/>
      </w:pPr>
      <w:r>
        <w:t xml:space="preserve">26. einen gebilligten Prospekt der Öffentlichkeit zur Verfügung stellt, der den Warnhinweis dazu, ab wann der Prospekt nicht mehr gültig ist, nach Artikel 21 Absatz 8 der Verordnung (EU) 2017/1129 in der Fassung vom 23. Oktober 2024 nicht, nicht vollständig oder nicht in der vorgeschriebenen Weise enthält,</w:t>
      </w:r>
    </w:p>
    <w:p>
      <w:pPr>
        <w:ind w:left="420"/>
      </w:pPr>
      <w:r>
        <w:t xml:space="preserve">27. Einzeldokumente eines aus mehreren Einzeldokumenten bestehenden Prospekts im Sinne des Artikels 10 der Verordnung (EU) 2017/1129 in der Fassung vom 23. Oktober 2024 veröffentlicht, die den Hinweis darauf, dass es sich bei jedem dieser Einzeldokumente lediglich um einen Teil des Prospekts handelt und wo die übrigen Einzeldokumente erhältlich sind, nach Artikel 21 Absatz 9 Satz 2 der Verordnung (EU) 2017/1129 in der Fassung vom 23. Oktober 2024 nicht oder nicht vollständig enthalten,</w:t>
      </w:r>
    </w:p>
    <w:p>
      <w:pPr>
        <w:ind w:left="420"/>
      </w:pPr>
      <w:r>
        <w:t xml:space="preserve">28. einen Prospekt oder einen Nachtrag der Öffentlichkeit zur Verfügung stellt, dessen Wortlaut und Aufmachung nicht mit der von der zuständigen Behörde gebilligten Fassung des Prospekts oder Nachtrags nach Artikel 21 Absatz 10 der Verordnung (EU) 2017/1129 in der Fassung vom 23. Oktober 2024 identisch ist,</w:t>
      </w:r>
    </w:p>
    <w:p>
      <w:pPr>
        <w:ind w:left="420"/>
      </w:pPr>
      <w:r>
        <w:t xml:space="preserve">29. sich in Werbung auf ein öffentliches Angebot von Wertpapieren oder auf eine Zulassung zum Handel an einem geregelten Markt bezieht, die den nach Artikel 22 Absatz 2 der Verordnung (EU) 2017/1129 in der Fassung vom 23. Oktober 2024 vorzusehenden Hinweis nicht oder nicht vollständig enthält,</w:t>
      </w:r>
    </w:p>
    <w:p>
      <w:pPr>
        <w:ind w:left="420"/>
      </w:pPr>
      <w:r>
        <w:t xml:space="preserve">30. sich in Werbung auf ein öffentliches Angebot von Wertpapieren oder auf eine Zulassung zum Handel an einem geregelten Markt bezieht, ohne sie klar als Werbung erkennbar zu machen oder ohne dass die darin enthaltenen Informationen den Anforderungen nach Artikel 22 Absatz 3 der Verordnung (EU) 2017/1129 in der Fassung vom 23. Oktober 2024 entsprechen,</w:t>
      </w:r>
    </w:p>
    <w:p>
      <w:pPr>
        <w:ind w:left="420"/>
      </w:pPr>
      <w:r>
        <w:t xml:space="preserve">31. nicht nach Artikel 22 Absatz 4 der Verordnung (EU) 2017/1129 in der Fassung vom 23. Oktober 2024 sicherstellt, dass mündlich oder schriftlich verbreitete Informationen über das öffentliche Angebot von Wertpapieren oder die Zulassung zum Handel an einem geregelten Markt mit den im Prospekt enthaltenen Informationen übereinstimmen,</w:t>
      </w:r>
    </w:p>
    <w:p>
      <w:pPr>
        <w:ind w:left="420"/>
      </w:pPr>
      <w:r>
        <w:t xml:space="preserve">32. einen Nachtrag veröffentlicht, in dem die Frist für das Widerrufsrecht des Anlegers und die Erklärung nach Artikel 23 Absatz 2 der Verordnung (EU) 2017/1129 in der Fassung vom 23. Oktober 2024, auch in Verbindung mit Artikel 8 Absatz 10 der Verordnung (EU) 2017/1129 in der Fassung vom 23. Oktober 2024, nicht oder nicht in der vorgeschriebenen Weise angegeben ist,</w:t>
      </w:r>
    </w:p>
    <w:p>
      <w:pPr>
        <w:ind w:left="420"/>
      </w:pPr>
      <w:r>
        <w:t xml:space="preserve">33. als Finanzintermediär, über den die Wertpapiere erworben oder gezeichnet werden, oder als Emittent, über den die Wertpapiere unmittelbar erworben oder gezeichnet werden, die Anleger nicht oder nicht rechtzeitig nach Artikel 23 Absatz 3 der Verordnung (EU) 2017/1129 in der Fassung vom 23. Oktober 2024 informiert,</w:t>
      </w:r>
    </w:p>
    <w:p>
      <w:pPr>
        <w:ind w:left="420"/>
      </w:pPr>
      <w:r>
        <w:t xml:space="preserve">34. als Emittent, Anbieter oder Zulassungsantragsteller einen Nachtrag zu einem Registrierungsformular oder zu einem einheitlichen Registrierungsformular, das gleichzeitig als Bestandteil mehrerer Prospekte verwendet wird, veröffentlicht, ohne nach Artikel 23 Absatz 5 der Verordnung (EU) 2017/1129 in der Fassung vom 23. Oktober 2024, auch in Verbindung mit Artikel 8 Absatz 10 der Verordnung (EU) 2017/1129 in der Fassung vom 23. Oktober 2024, im Nachtrag alle Prospekte zu nennen, auf die er sich bezieht,</w:t>
      </w:r>
    </w:p>
    <w:p>
      <w:pPr>
        <w:ind w:left="420"/>
      </w:pPr>
      <w:r>
        <w:t xml:space="preserve">35. Wertpapiere nur in seinem Herkunftsmitgliedstaat öffentlich anbietet oder nur dort die Zulassung zum Handel an einem geregelten Markt beantragt und zu diesem Zweck einen Prospekt veröffentlicht, der nicht in einer nach § 21 in Verbindung mit Artikel 27 der Verordnung (EU) 2017/1129 in der Fassung vom 23. Oktober 2024 anerkannten Sprache erstellt wurde,</w:t>
      </w:r>
    </w:p>
    <w:p>
      <w:pPr>
        <w:ind w:left="420"/>
      </w:pPr>
      <w:r>
        <w:t xml:space="preserve">36. Wertpapiere in einem oder mehreren anderen Mitgliedstaaten als seinem Herkunftsmitgliedstaat öffentlich anbietet oder dort die Zulassung zum Handel an einem geregelten Markt beantragt und zu diesem Zweck einen Prospekt veröffentlicht, der nicht in einer nach § 21 in Verbindung mit Artikel 27 Absatz 2 Unterabsatz 1 der Verordnung (EU) 2017/1129 in der Fassung vom 23. Oktober 2024 anerkannten oder in einer in internationalen Finanzkreisen gebräuchlichen Sprache erstellt wurde,</w:t>
      </w:r>
    </w:p>
    <w:p>
      <w:pPr>
        <w:ind w:left="420"/>
      </w:pPr>
      <w:r>
        <w:t xml:space="preserve">37. Wertpapiere in mehr als einem Mitgliedstaat einschließlich des Herkunftsmitgliedstaats öffentlich anbietet oder dort die Zulassung zum Handel an einem geregelten Markt beantragt und zu diesem Zweck einen Prospekt veröffentlicht, der nicht in einer nach § 21 in Verbindung mit Artikel 27 Absatz 3 Unterabsatz 1 der Verordnung (EU) 2017/1129 in der Fassung vom 23. Oktober 2024 anerkannten Sprache oder in einer von den zuständigen Behörden der einzelnen Aufnahmemitgliedstaaten anerkannten Sprache oder in einer in internationalen Finanzkreisen gebräuchlichen Sprache erstellt wurde,</w:t>
      </w:r>
    </w:p>
    <w:p>
      <w:pPr>
        <w:ind w:left="420"/>
      </w:pPr>
      <w:r>
        <w:t xml:space="preserve">38. einen in englischer Sprache erstellten Prospekt veröffentlicht, der keine Übersetzung der in Artikel 7 der Verordnung (EU) 2017/1129 in der Fassung vom 23. Oktober 2024 genannten Zusammenfassung oder im Falle eines EU-Wachstumsprospekts der speziellen Zusammenfassung gemäß Artikel 15 Absatz 2 der Verordnung (EU) 2017/1129 in der Fassung vom 23. Oktober 2024 oder im Falle eines Basisprospekts der Zusammenfassung für die einzelne Emission in die deutsche Sprache enthält, oder</w:t>
      </w:r>
    </w:p>
    <w:p>
      <w:pPr>
        <w:ind w:left="420"/>
      </w:pPr>
      <w:r>
        <w:t xml:space="preserve">39. endgültige Bedingungen oder die Zusammenfassung für die einzelne Emission veröffentlicht, ohne dabei der für die endgültigen Bedingungen und die ihnen angefügte Zusammenfassung nach Artikel 27 Absatz 4 Unterabsatz 1 der Verordnung (EU) 2017/1129 in der Fassung vom 23. Oktober 2024 geltenden Sprachregelung zu entsprechen.</w:t>
      </w:r>
    </w:p>
    <w:p>
      <w:r>
        <w:t xml:space="preserve">(5) Die Ordnungswidrigkeit kann in den Fällen des Absatzes 1 Nummer 1 und 2 mit einer Geldbuße bis zu siebenhunderttausend Euro, in den Fällen des Absatzes 1 Nummer 3 Buchstabe a und Nummer 4 bis 6 und des Absatzes 2 Nummer 1 mit einer Geldbuße bis zu zweihunderttausend Euro und in den übrigen Fällen des Absatzes 1 mit einer Geldbuße bis zu hunderttausend Euro geahndet werden.</w:t>
      </w:r>
    </w:p>
    <w:p>
      <w:r>
        <w:t xml:space="preserve">(6) Die Ordnungswidrigkeit kann in den Fällen des Absatzes 2 Nummer 2, der Absätze 3 und 4 mit einer Geldbuße bis zu siebenhunderttausend Euro geahndet werden. Gegenüber einer juristischen Person oder Personenvereinigung kann über Satz 1 hinaus eine höhere Geldbuße verhängt werden; diese darf den höheren der Beträge von fünf Millionen Euro und 3 Prozent des Gesamtumsatzes, den die juristische Person oder Personenvereinigung im der Behördenentscheidung vorangegangenen Geschäftsjahr erzielt hat, nicht überschreiten. Über die in den Sätzen 1 und 2 genannten Beträge hinaus kann die Ordnungswidrigkeit mit einer Geldbuße bis zum Zweifachen des aus dem Verstoß gezogenen wirtschaftlichen Vorteils geahndet werden. Der wirtschaftliche Vorteil umfasst erzielte Gewinne und vermiedene Verluste und kann geschätzt werden.</w:t>
      </w:r>
    </w:p>
    <w:p>
      <w:r>
        <w:t xml:space="preserve">(7) Zur Ermittlung des Gesamtumsatzes im Sinne des Absatzes 6 Satz 2 gilt § 120 Absatz 23 Satz 1 des Wertpapierhandelsgesetzes entsprechend.</w:t>
      </w:r>
    </w:p>
    <w:p>
      <w:r>
        <w:t xml:space="preserve">(8) § 17 Absatz 2 des Gesetzes über Ordnungswidrigkeiten ist nicht anzuwenden bei Sanktionstatbeständen, die in Absatz 6 in Bezug genommen werden.</w:t>
      </w:r>
    </w:p>
    <w:p>
      <w:r>
        <w:t xml:space="preserve">(9) Verwaltungsbehörde im Sinne des § 36 Absatz 1 Nummer 1 des Gesetzes über Ordnungswidrigkeiten ist die Bundesanstalt.</w:t>
      </w:r>
    </w:p>
    <w:p>
      <w:r>
        <w:rPr>
          <w:color w:val="555555"/>
          <w:sz w:val="17"/>
        </w:rPr>
        <w:t xml:space="preserve">Zitiervorschlag: § 24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