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WpPG — Anerkannte Sprache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Anerkannte Sprache im Sinne des Artikels 1 Absatz 4 Unterabsatz 2 und Absatz 5 Unterabsatz 3 der Verordnung (EU) 2017/1129 ist die englische Sprache.</w:t>
      </w:r>
    </w:p>
    <w:p>
      <w:r>
        <w:t xml:space="preserve">(2) Anerkannte Sprachen im Sinne des Artikels 27 der Verordnung (EU) 2017/1129 sind die deutsche und die englische Sprache.</w:t>
      </w:r>
    </w:p>
    <w:p>
      <w:r>
        <w:t xml:space="preserve">(3) Anerkannte Sprache im Sinne des Artikels 15 Absatz 2 Buchstabe a der Verordnung (EU) 2023/2631 ist die deutsche Sprache.</w:t>
      </w:r>
    </w:p>
    <w:p>
      <w:r>
        <w:rPr>
          <w:color w:val="555555"/>
          <w:sz w:val="17"/>
        </w:rPr>
        <w:t xml:space="preserve">Zitiervorschlag: § 21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