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WpPG — Haftungsausschluss bei fehlerhaftem Wertpapier-Informationsblatt</w:t>
      </w:r>
    </w:p>
    <w:p>
      <w:r>
        <w:rPr>
          <w:color w:val="555555"/>
          <w:sz w:val="18"/>
        </w:rPr>
        <w:t xml:space="preserve">Wertpapierprospektgesetz</w:t>
      </w:r>
    </w:p>
    <w:p>
      <w:r>
        <w:rPr>
          <w:color w:val="555555"/>
          <w:sz w:val="18"/>
        </w:rPr>
        <w:t xml:space="preserve">Stand: 24.07.2019 (konsolidierte Textfassung, kein amtliches Inkrafttretensdatum)</w:t>
      </w:r>
    </w:p>
    <w:p>
      <w:r>
        <w:t xml:space="preserve">(1) Nach § 11 kann nicht in Anspruch genommen werden, wer nachweist, dass er die Unrichtigkeit der Angaben des Wertpapier-Informationsblatts oder die Irreführung durch diese Angaben nicht gekannt hat und dass die Unkenntnis nicht auf grober Fahrlässigkeit beruht.</w:t>
      </w:r>
    </w:p>
    <w:p>
      <w:r>
        <w:t xml:space="preserve">(2) Ein Anspruch nach § 11 besteht nicht, sofern</w:t>
      </w:r>
    </w:p>
    <w:p>
      <w:pPr>
        <w:ind w:left="420"/>
      </w:pPr>
      <w:r>
        <w:t xml:space="preserve">1. die Wertpapiere nicht auf Grund des Wertpapier-Informationsblatts erworben wurden,</w:t>
      </w:r>
    </w:p>
    <w:p>
      <w:pPr>
        <w:ind w:left="420"/>
      </w:pPr>
      <w:r>
        <w:t xml:space="preserve">2. der Sachverhalt, über den unrichtige oder irreführende Angaben im Wertpapier-Informationsblatt enthalten sind, nicht zu einer Minderung des Börsenpreises der Wertpapiere beigetragen hat,</w:t>
      </w:r>
    </w:p>
    <w:p>
      <w:pPr>
        <w:ind w:left="420"/>
      </w:pPr>
      <w:r>
        <w:t xml:space="preserve">3. der Erwerber die Unrichtigkeit der Angaben des Wertpapier-Informationsblatts oder die Irreführung durch diese Angaben bei dem Erwerb kannte oder</w:t>
      </w:r>
    </w:p>
    <w:p>
      <w:pPr>
        <w:ind w:left="420"/>
      </w:pPr>
      <w:r>
        <w:t xml:space="preserve">4. vor dem Abschluss des Erwerbsgeschäfts im Rahmen des Jahresabschlusses oder Zwischenberichts des Emittenten, im Rahmen einer Veröffentlichung nach Artikel 17 der Verordnung (EU) Nr. 596/2014 des Europäischen Parlaments und des Rates vom 16. April 2014 über Marktmissbrauch (Marktmissbrauchsverordnung) und zur Aufhebung der Richtlinie 2003/6/EG des Europäischen Parlaments und des Rates und der Richtlinien 2003/124/EG, 2003/125/EG und 2004/72/EG der Kommission (ABl. L 173 vom 12.6.2014, S. 1; L 287 vom 21.10.2016, S. 320; L 306 vom 15.11.2016, S. 43; L 348 vom 21.12.2016, S. 83), die zuletzt durch die Verordnung (EU) 2016/1033 (ABl. L 175 vom 30.6.2016, S. 1) geändert worden ist, in der jeweils geltenden Fassung oder einer vergleichbaren Bekanntmachung eine deutlich gestaltete Berichtigung der unrichtigen oder irreführenden Angaben im Inland veröffentlicht wurde.</w:t>
      </w:r>
    </w:p>
    <w:p>
      <w:r>
        <w:rPr>
          <w:color w:val="555555"/>
          <w:sz w:val="17"/>
        </w:rPr>
        <w:t xml:space="preserve">Zitiervorschlag: § 13 WpPG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https://recht.nulegal.eu/gesetze/WpPG/13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