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WpPG — Haftung bei fehlerhaftem Wertpapier-Informationsblatt</w:t>
      </w:r>
    </w:p>
    <w:p>
      <w:r>
        <w:rPr>
          <w:color w:val="555555"/>
          <w:sz w:val="18"/>
        </w:rPr>
        <w:t xml:space="preserve">Wertpapierprospektgesetz</w:t>
      </w:r>
    </w:p>
    <w:p>
      <w:r>
        <w:rPr>
          <w:color w:val="555555"/>
          <w:sz w:val="18"/>
        </w:rPr>
        <w:t xml:space="preserve">Stand: 24.07.2019 (konsolidierte Textfassung, kein amtliches Inkrafttretensdatum)</w:t>
      </w:r>
    </w:p>
    <w:p>
      <w:r>
        <w:t xml:space="preserve">(1) Sind in einem veröffentlichten Wertpapier-Informationsblatt nach § 4 Absatz 1 Satz 1 für die Beurteilung der Wertpapiere wesentliche Angaben unrichtig oder irreführend oder ist der Warnhinweis nach § 4 Absatz 4 nicht enthalten, kann der Erwerber dieser Wertpapiere von denjenigen, von denen der Erlass des Wertpapier-Informationsblatts ausgeht, und vom Anbieter als Gesamtschuldnern die Übernahme der Wertpapiere gegen Erstattung des Erwerbspreises, soweit dieser den ersten Ausgabepreis der Wertpapiere nicht überschreitet, und der mit dem Erwerb verbundenen üblichen Kosten verlangen, sofern das Erwerbsgeschäft nach Veröffentlichung des Wertpapier-Informationsblatts und während der Dauer des öffentlichen Angebots, spätestens jedoch innerhalb von sechs Monaten nach dem ersten öffentlichen Angebot der Wertpapiere im Inland abgeschlossen wurde.</w:t>
      </w:r>
    </w:p>
    <w:p>
      <w:r>
        <w:t xml:space="preserve">(2) Ist der Erwerber nicht mehr Inhaber der Wertpapiere, so kann er die Zahlung des Unterschiedsbetrags zwischen dem Erwerbspreis, soweit dieser den ersten Ausgabepreis nicht überschreitet, und dem Veräußerungspreis der Wertpapiere sowie der mit dem Erwerb und der Veräußerung verbundenen üblichen Kosten verlangen.</w:t>
      </w:r>
    </w:p>
    <w:p>
      <w:r>
        <w:t xml:space="preserve">(3) Werden Wertpapiere eines Emittenten mit Sitz im Ausland auch im Ausland öffentlich angeboten, besteht ein Anspruch nach Absatz 1 oder Absatz 2 nur, sofern die Wertpapiere auf Grund eines im Inland abgeschlossenen Geschäfts oder einer ganz oder teilweise im Inland erbrachten Wertpapierdienstleistung erworben wurden.</w:t>
      </w:r>
    </w:p>
    <w:p>
      <w:r>
        <w:rPr>
          <w:color w:val="555555"/>
          <w:sz w:val="17"/>
        </w:rPr>
        <w:t xml:space="preserve">Zitiervorschlag: § 11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