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WpPG — Haftung bei sonstigem fehlerhaften Prospekt</w:t>
      </w:r>
    </w:p>
    <w:p>
      <w:r>
        <w:rPr>
          <w:color w:val="555555"/>
          <w:sz w:val="18"/>
        </w:rPr>
        <w:t xml:space="preserve">Wertpapierprospektgesetz</w:t>
      </w:r>
    </w:p>
    <w:p>
      <w:r>
        <w:rPr>
          <w:color w:val="555555"/>
          <w:sz w:val="18"/>
        </w:rPr>
        <w:t xml:space="preserve">Stand: 24.07.2019 (konsolidierte Textfassung, kein amtliches Inkrafttretensdatum)</w:t>
      </w:r>
    </w:p>
    <w:p>
      <w:r>
        <w:t xml:space="preserve">Sind in einem nach Artikel 3 Absatz 1 der Verordnung (EU) 2017/1129 veröffentlichten Prospekt, der nicht Grundlage für die Zulassung von Wertpapieren zum Handel an einer inländischen Börse ist, für die Beurteilung der Wertpapiere wesentliche Angaben unrichtig oder unvollständig, ist § 9 entsprechend anzuwenden mit der Maßgabe, dass</w:t>
      </w:r>
    </w:p>
    <w:p>
      <w:pPr>
        <w:ind w:left="420"/>
      </w:pPr>
      <w:r>
        <w:t xml:space="preserve">1. bei der Anwendung des § 9 Absatz 1 Satz 1 für die Bemessung des Zeitraums von sechs Monaten anstelle der Einführung der Wertpapiere der Zeitpunkt des ersten öffentlichen Angebots im Inland maßgeblich ist und</w:t>
      </w:r>
    </w:p>
    <w:p>
      <w:pPr>
        <w:ind w:left="420"/>
      </w:pPr>
      <w:r>
        <w:t xml:space="preserve">2. § 9 Absatz 3 auf diejenigen Emittenten mit Sitz im Ausland anzuwenden ist, deren Wertpapiere auch im Ausland öffentlich angeboten werden.</w:t>
      </w:r>
    </w:p>
    <w:p>
      <w:r>
        <w:rPr>
          <w:color w:val="555555"/>
          <w:sz w:val="17"/>
        </w:rPr>
        <w:t xml:space="preserve">Zitiervorschlag: § 10 WpPG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https://recht.nulegal.eu/gesetze/WpPG/10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