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WpIVergV</w:t>
      </w:r>
    </w:p>
    <w:p>
      <w:r>
        <w:rPr>
          <w:color w:val="555555"/>
          <w:sz w:val="18"/>
        </w:rPr>
        <w:t xml:space="preserve">Wertpapierinstituts-Vergütungsverordnung</w:t>
      </w:r>
    </w:p>
    <w:p>
      <w:r>
        <w:rPr>
          <w:color w:val="555555"/>
          <w:sz w:val="18"/>
        </w:rPr>
        <w:t xml:space="preserve">Stand: 12.01.2024 (konsolidierte Textfassung, kein amtliches Inkrafttretensdatum)</w:t>
      </w:r>
    </w:p>
    <w:p>
      <w:r>
        <w:t xml:space="preserve">Auf Grund des § 46 Absatz 3 des Wertpapierinstitutsgesetzes in Verbindung mit § 1d Nummer 2 der Verordnung zur Übertragung von Befugnissen zum Erlass von Rechtsverordnungen auf die Bundesanstalt für Finanzdienstleistungsaufsicht, der durch Artikel 1 der Verordnung vom 26. Juni 2021 (BGBl. I S. 2027) eingefügt worden ist, im Einvernehmen mit der Deutschen Bundesbank und nach Anhörung der Spitzenverbände der Wertpapierinstitute, verordnet die Bundesanstalt für Finanzdienstleistungsaufsicht (Bundesanstalt):</w:t>
      </w:r>
    </w:p>
    <w:p>
      <w:r>
        <w:rPr>
          <w:color w:val="555555"/>
          <w:sz w:val="17"/>
        </w:rPr>
        <w:t xml:space="preserve">Zitiervorschlag: Eingangsformel WpIVergV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https://recht.nulegal.eu/gesetze/WpIVergV/eingangsformel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