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WpIVergV — Zusätzliche Leistungen zur Altersversorgung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(1) Zusätzliche Leistungen zur Altersversorgung müssen im Einklang mit der Geschäftsstrategie, den Zielen, den Werten und den langfristigen Interessen des Wertpapierinstituts stehen.</w:t>
      </w:r>
    </w:p>
    <w:p>
      <w:r>
        <w:t xml:space="preserve">(2) Wenn ein Risikoträger das Wertpapierinstitut vor dem Renteneintrittsalter verlässt, müssen zusätzliche Leistungen zur Altersversorgung von dem Wertpapierinstitut für eine Zeit von fünf Jahren in Instrumenten nach § 8 Absatz 3 Satz 1 zurückbehalten werden. Erreicht der Risikoträger das Renteneintrittsalter, müssen zusätzliche Leistungen zur Altersversorgung von dem Wertpapierinstitut mit Instrumenten nach § 8 Absatz 3 Satz 1 geleistet und von dem Risikoträger mindestens fünf Jahre gehalten werden.</w:t>
      </w:r>
    </w:p>
    <w:p>
      <w:r>
        <w:rPr>
          <w:color w:val="555555"/>
          <w:sz w:val="17"/>
        </w:rPr>
        <w:t xml:space="preserve">Zitiervorschlag: § 9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