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WpIVergV — Verantwortlichkeiten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(1) Die Geschäftsleitung ist für die angemessene Ausgestaltung der Vergütungssysteme für Risikoträger, die keine Geschäftsleiter sind, nach § 46 des Wertpapierinstitutsgesetzes und dieser Verordnung verantwortlich. Sie hat das Verwaltungs- oder Aufsichtsorgan, soweit ein solches besteht, mindestens einmal jährlich über die Ausgestaltung der Vergütungssysteme des Wertpapierinstituts zu informieren. Sofern ein Verwaltungs- oder Aufsichtsorgan besteht, ist dem Vorsitzenden ein entsprechendes Auskunftsrecht gegenüber der Geschäftsleitung einzuräumen.</w:t>
      </w:r>
    </w:p>
    <w:p>
      <w:r>
        <w:t xml:space="preserve">(2) Sofern ein Verwaltungs- oder Aufsichtsorgan besteht, ist dieses für die angemessene Ausgestaltung der Vergütungssysteme der Geschäftsleiter sowie die Überwachung der angemessenen Ausgestaltung der Vergütungssysteme nach § 46 Absatz 1 und 2 des Wertpapierinstitutsgesetzes und dieser Verordnung verantwortlich. Dies umfasst insbesondere auch die Überwachung der Vergütungen der Leiter der Risikocontrolling-Funktion und der Compliance-Funktion. Besteht kein Verwaltungs- oder Aufsichtsorgan, sind die Gesellschafter oder Inhaber für die angemessene Ausgestaltung und Überwachung der Vergütungssysteme der Geschäftsleiter verantwortlich; diese haben ihre Tätigkeit insoweit detailliert zu dokumentieren.</w:t>
      </w:r>
    </w:p>
    <w:p>
      <w:r>
        <w:t xml:space="preserve">(3) Die Kontrolleinheiten sind im Rahmen ihrer jeweiligen Aufgaben bei der Ausgestaltung und der Überwachung der Vergütungssysteme zu beteiligen.</w:t>
      </w:r>
    </w:p>
    <w:p>
      <w:r>
        <w:rPr>
          <w:color w:val="555555"/>
          <w:sz w:val="17"/>
        </w:rPr>
        <w:t xml:space="preserve">Zitiervorschlag: § 4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