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WpIVergV — Inkrafttreten</w:t>
      </w:r>
    </w:p>
    <w:p>
      <w:r>
        <w:rPr>
          <w:color w:val="555555"/>
          <w:sz w:val="18"/>
        </w:rPr>
        <w:t xml:space="preserve">Wertpapierinstituts-Vergütungsverordnung</w:t>
      </w:r>
    </w:p>
    <w:p>
      <w:r>
        <w:rPr>
          <w:color w:val="555555"/>
          <w:sz w:val="18"/>
        </w:rPr>
        <w:t xml:space="preserve">Stand: 12.01.2024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20 WpIVergV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https://recht.nulegal.eu/gesetze/WpIVergV/20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