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WpIVergV — Aufgaben des Vergütungskontrollausschusses</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(1) Hat das Wertpapierinstitut einen Vergütungskontrollausschuss nach § 44 Absatz 3 des Wertpapierinstitutsgesetzes eingerichtet, so nimmt dieser insbesondere die Aufgaben nach § 44 Absatz 6 und 7 des Wertpapierinstitutsgesetzes sowie nach den Absätzen 2 bis 4 wahr.</w:t>
      </w:r>
    </w:p>
    <w:p>
      <w:r>
        <w:t xml:space="preserve">(2) Der Vergütungskontrollausschuss unterstützt das Verwaltungs- oder Aufsichtsorgan bei der angemessenen Ausgestaltung der Vergütungssysteme des Wertpapierinstituts für Geschäftsleiter. Dies umfasst insbesondere</w:t>
      </w:r>
    </w:p>
    <w:p>
      <w:pPr>
        <w:ind w:left="420"/>
      </w:pPr>
      <w:r>
        <w:t xml:space="preserve">1. die Vorbereitung der Beschlüsse des Verwaltungs- oder Aufsichtsorgans zur Festsetzung des Gesamtbetrags der variablen Vergütung nach § 11 Absatz 2 sowie zur Festlegung von angemessenen Vergütungsparametern, von Erfolgsbeiträgen, der Leistungs- und Zurückbehaltungszeiträume und der Voraussetzungen für einen vollständigen Verlust oder eine teilweise Reduzierung der zurückbehaltenen variablen Vergütung oder für eine Rückforderung bereits ausgezahlter variabler Vergütung sowie</w:t>
      </w:r>
    </w:p>
    <w:p>
      <w:pPr>
        <w:ind w:left="420"/>
      </w:pPr>
      <w:r>
        <w:t xml:space="preserve">2. die regelmäßige, mindestens jedoch jährliche Überprüfung, ob die vom Verwaltungs- oder Aufsichtsorgan beschlossenen Festlegungen zu den in Nummer 1 genannten Punkten noch angemessen sind; im Fall festgestellter Mängel ist zeitnah ein Maßnahmenplan zu erstellen.</w:t>
      </w:r>
    </w:p>
    <w:p>
      <w:r>
        <w:t xml:space="preserve">(3) Der Vergütungskontrollausschuss unterstützt das Verwaltungs- oder Aufsichtsorgan des Wertpapierinstituts ferner bei der Überwachung der angemessenen Ausgestaltung der Vergütungssysteme für die Risikoträger, die keine Geschäftsleiter sind. Zu den diesbezüglichen Aufgaben des Vergütungskontrollausschusses zählt insbesondere die regelmäßige, mindestens jedoch jährliche Überprüfung, ob</w:t>
      </w:r>
    </w:p>
    <w:p>
      <w:pPr>
        <w:ind w:left="420"/>
      </w:pPr>
      <w:r>
        <w:t xml:space="preserve">1. der Gesamtbetrag der variablen Vergütung entsprechend den Vorgaben des § 11 Absatz 2 ermittelt ist,</w:t>
      </w:r>
    </w:p>
    <w:p>
      <w:pPr>
        <w:ind w:left="420"/>
      </w:pPr>
      <w:r>
        <w:t xml:space="preserve">2. die festgelegten Grundsätze zur Bemessung von Vergütungsparametern, Erfolgsbeiträgen sowie Leistungs- und Zurückbehaltungszeiträumen einschließlich der Voraussetzungen für einen vollständigen Verlust oder eine teilweise Reduzierung der variablen Vergütung angemessen sind und</w:t>
      </w:r>
    </w:p>
    <w:p>
      <w:pPr>
        <w:ind w:left="420"/>
      </w:pPr>
      <w:r>
        <w:t xml:space="preserve">3. die Vergütungssysteme der Risikoträger in den Kontrolleinheiten den Vorgaben dieser Verordnung entsprechen.</w:t>
      </w:r>
    </w:p>
    <w:p>
      <w:r>
        <w:t xml:space="preserve">(4) Im Rahmen seiner Aufgaben bewertet der Vergütungskontrollausschuss die Auswirkungen der Vergütungssysteme auf die Risiko-, Kapital- und Liquiditätssituation des Wertpapierinstituts sowie der Wertpapierinstitutsgruppe und überwacht, dass die Vergütungssysteme im Einklang mit den Vorgaben nach § 5 stehen.</w:t>
      </w:r>
    </w:p>
    <w:p>
      <w:r>
        <w:rPr>
          <w:color w:val="555555"/>
          <w:sz w:val="17"/>
        </w:rPr>
        <w:t xml:space="preserve">Zitiervorschlag: § 17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