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WpIVergV — Anpassung bestehender Vereinbarungen</w:t>
      </w:r>
    </w:p>
    <w:p>
      <w:r>
        <w:rPr>
          <w:color w:val="555555"/>
          <w:sz w:val="18"/>
        </w:rPr>
        <w:t xml:space="preserve">Wertpapierinstituts-Vergütungsverordnung</w:t>
      </w:r>
    </w:p>
    <w:p>
      <w:r>
        <w:rPr>
          <w:color w:val="555555"/>
          <w:sz w:val="18"/>
        </w:rPr>
        <w:t xml:space="preserve">Stand: 12.01.2024 (konsolidierte Textfassung, kein amtliches Inkrafttretensdatum)</w:t>
      </w:r>
    </w:p>
    <w:p>
      <w:r>
        <w:t xml:space="preserve">(1) Das Wertpapierinstitut hat darauf hinzuwirken, dass bestehende</w:t>
      </w:r>
    </w:p>
    <w:p>
      <w:pPr>
        <w:ind w:left="420"/>
      </w:pPr>
      <w:r>
        <w:t xml:space="preserve">1. Verträge mit Risikoträgern,</w:t>
      </w:r>
    </w:p>
    <w:p>
      <w:pPr>
        <w:ind w:left="420"/>
      </w:pPr>
      <w:r>
        <w:t xml:space="preserve">2. Betriebs- und Dienstvereinbarungen sowie</w:t>
      </w:r>
    </w:p>
    <w:p>
      <w:pPr>
        <w:ind w:left="420"/>
      </w:pPr>
      <w:r>
        <w:t xml:space="preserve">3. betriebliche Übungen,</w:t>
      </w:r>
    </w:p>
    <w:p>
      <w:r>
        <w:t xml:space="preserve">die mit dieser Verordnung nicht vereinbar sind, unverzüglich angepasst werden, soweit dies rechtlich zulässig ist.</w:t>
      </w:r>
    </w:p>
    <w:p>
      <w:r>
        <w:t xml:space="preserve">(2) Die Anpassung hat auf Grundlage einer für Dritte nachvollziehbaren fundierten juristischen Begutachtung der Rechtslage und unter Berücksichtigung der konkreten Erfolgsaussichten zu erfolgen.</w:t>
      </w:r>
    </w:p>
    <w:p>
      <w:r>
        <w:rPr>
          <w:color w:val="555555"/>
          <w:sz w:val="17"/>
        </w:rPr>
        <w:t xml:space="preserve">Zitiervorschlag: § 16 WpIVergV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https://recht.nulegal.eu/gesetze/WpIVergV/16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