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WpIVergV — Information über Vergütungssysteme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Die Risikoträger müssen durch das Wertpapierinstitut in Textform über die Ausgestaltung der für sie maßgeblichen Vergütungssysteme und insbesondere über die Ausgestaltung der für sie relevanten Vergütungsparameter in Kenntnis gesetzt werden.</w:t>
      </w:r>
    </w:p>
    <w:p>
      <w:r>
        <w:t xml:space="preserve">(2) Die weiteren Informationen zu Vergütungssystemen, die nach Artikel 51 der Verordnung (EU) 2019/2033 von dem Wertpapierinstitut offenzulegen sind, sind allen Risikoträgern in Textform zugänglich zu machen.</w:t>
      </w:r>
    </w:p>
    <w:p>
      <w:r>
        <w:rPr>
          <w:color w:val="555555"/>
          <w:sz w:val="17"/>
        </w:rPr>
        <w:t xml:space="preserve">Zitiervorschlag: § 15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