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WpIVergV — Voraussetzungen für die Festsetzung des Gesamtbetrags der variablen Vergütung und die Erdienung zurückbehaltener Vergütungsbestandteile</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(1) Der Gesamtbetrag der variablen Vergütungen muss in einem formalisierten, transparenten und nachvollziehbaren Prozess unter angemessener und ihrem Aufgabenbereich entsprechender Beteiligung der Kontrolleinheiten festgesetzt werden. Die Verantwortlichkeiten nach § 4 gelten entsprechend.</w:t>
      </w:r>
    </w:p>
    <w:p>
      <w:r>
        <w:t xml:space="preserve">(2) Die Ermittlung der Leistung, die als Basis zur Berechnung des jährlichen Gesamtbetrags der variablen Vergütungen herangezogen wird, muss alle Kategorien von bestehenden und zukünftigen Risiken sowie die Kosten der Aufbringung von Eigenmitteln und liquiden Vermögenswerten nach der Verordnung (EU) 2019/2033 berücksichtigen. Die Zuteilung verschiedener Komponenten der variablen Vergütung innerhalb des Wertpapierinstituts muss alle bestehenden und zukünftigen Risiken des Wertpapierinstituts berücksichtigen. Die variable Vergütung darf nicht die Fähigkeit des Wertpapierinstituts beeinträchtigen, eine angemessene Ausstattung mit Eigenmitteln zu gewährleisten.</w:t>
      </w:r>
    </w:p>
    <w:p>
      <w:r>
        <w:t xml:space="preserve">(3) Eine Ermittlung und eine Erdienung von variabler Vergütung darf nur erfolgen, wenn und soweit zu den jeweiligen Zeitpunkten die Voraussetzungen nach Absatz 2 erfüllt sind. Ein späterer Ausgleich für eine Verringerung der variablen Vergütung ist nicht zulässig.</w:t>
      </w:r>
    </w:p>
    <w:p>
      <w:r>
        <w:rPr>
          <w:color w:val="555555"/>
          <w:sz w:val="17"/>
        </w:rPr>
        <w:t xml:space="preserve">Zitiervorschlag: § 11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