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WpIVergV — Ausnahmen in Bezug auf variable Vergütungen und zusätzliche Leistungen zur Altersversorgung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(1) § 8 Absatz 3 bis 6 sowie § 9 Absatz 2 sind nicht anwendbar auf Wertpapierinstitute, die die Kriterien des § 44 Absatz 3 Satz 2 Nummer 1 oder Nummer 2 des Wertpapierinstitutsgesetzes erfüllen.</w:t>
      </w:r>
    </w:p>
    <w:p>
      <w:r>
        <w:t xml:space="preserve">(2) § 8 Absatz 3 bis 6 sowie § 9 Absatz 2 sind nicht anwendbar auf jährliche variable Vergütungen, die nicht über 50 000 Euro hinausgehen und nicht mehr als ein Viertel der jährlichen Gesamtvergütung des betreffenden Risikoträgers ausmachen.</w:t>
      </w:r>
    </w:p>
    <w:p>
      <w:r>
        <w:rPr>
          <w:color w:val="555555"/>
          <w:sz w:val="17"/>
        </w:rPr>
        <w:t xml:space="preserve">Zitiervorschlag: § 10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