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WpIVergV — Anwendungsbereich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Diese Verordnung ist vorbehaltlich des Absatzes 3 auf alle Mittleren Wertpapierinstitute im Sinne des § 2 Absatz 17 des Wertpapierinstitutsgesetzes anzuwenden. Sie betrifft die Vergütung der Risikoträger eines Wertpapierinstituts.</w:t>
      </w:r>
    </w:p>
    <w:p>
      <w:r>
        <w:t xml:space="preserve">(2) § 18 ist darüber hinaus von übergeordneten Unternehmen anzuwenden. Dies gilt auch dann, wenn es sich um kein Wertpapierinstitut im Sinne des § 2 Absatz 17 des Wertpapierinstitutsgesetzes handelt.</w:t>
      </w:r>
    </w:p>
    <w:p>
      <w:r>
        <w:t xml:space="preserve">(3) Diese Verordnung ist nicht anzuwenden auf</w:t>
      </w:r>
    </w:p>
    <w:p>
      <w:pPr>
        <w:ind w:left="420"/>
      </w:pPr>
      <w:r>
        <w:t xml:space="preserve">1. Vergütungen, die</w:t>
      </w:r>
    </w:p>
    <w:p>
      <w:pPr>
        <w:ind w:left="780"/>
      </w:pPr>
      <w:r>
        <w:t xml:space="preserve">a) durch Tarifvertrag vereinbart sind,</w:t>
      </w:r>
    </w:p>
    <w:p>
      <w:pPr>
        <w:ind w:left="780"/>
      </w:pPr>
      <w:r>
        <w:t xml:space="preserve">b) im Geltungsbereich eines Tarifvertrags durch Vereinbarung der Arbeitsvertragsparteien über die Anwendung der tarifvertraglichen Regelungen vereinbart sind, oder</w:t>
      </w:r>
    </w:p>
    <w:p>
      <w:pPr>
        <w:ind w:left="780"/>
      </w:pPr>
      <w:r>
        <w:t xml:space="preserve">c) aufgrund eines Tarifvertrags in einer Betriebs- oder Dienstvereinbarung vereinbart sind, sowie</w:t>
      </w:r>
    </w:p>
    <w:p>
      <w:pPr>
        <w:ind w:left="420"/>
      </w:pPr>
      <w:r>
        <w:t xml:space="preserve">2. Handelsvertreter im Sinne des § 84 Absatz 1 des Handelsgesetzbuchs.</w:t>
      </w:r>
    </w:p>
    <w:p>
      <w:r>
        <w:rPr>
          <w:color w:val="555555"/>
          <w:sz w:val="17"/>
        </w:rPr>
        <w:t xml:space="preserve">Zitiervorschlag: § 1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