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WpIPrüfbV — Prüfungsfeststellungen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(1) Prüfungsfeststellungen sind entsprechend ihren Auswirkungen auf die Ordnungsmäßigkeit der Geschäftstätigkeit, die Risiken nach § 45 Absatz 1 des Wertpapierinstitutsgesetzes oder die Wirksamkeit der Präventionsmaßnahmen und Präventionsvorkehrungen zur Verhinderung von Geldwäsche und von Terrorismusfinanzierung sowie von strafbaren Handlungen nach § 33 Absatz 1 Satz 1 des Wertpapierinstitutsgesetzes nach den Klassen F-0 bis F-5 zu bewerten. Dabei beschreibt eine Prüfungsfeststellung</w:t>
      </w:r>
    </w:p>
    <w:p>
      <w:pPr>
        <w:ind w:left="420"/>
      </w:pPr>
      <w:r>
        <w:t xml:space="preserve">1. F-0 ein völliges Fehlen von Normverstößen,</w:t>
      </w:r>
    </w:p>
    <w:p>
      <w:pPr>
        <w:ind w:left="420"/>
      </w:pPr>
      <w:r>
        <w:t xml:space="preserve">2. F-1 Normverstöße mit geringfügigen Auswirkungen (geringfügige Mängel),</w:t>
      </w:r>
    </w:p>
    <w:p>
      <w:pPr>
        <w:ind w:left="420"/>
      </w:pPr>
      <w:r>
        <w:t xml:space="preserve">3. F-2 Normverstöße mit mittelschweren Auswirkungen (mittelschwere Mängel),</w:t>
      </w:r>
    </w:p>
    <w:p>
      <w:pPr>
        <w:ind w:left="420"/>
      </w:pPr>
      <w:r>
        <w:t xml:space="preserve">4. F-3 Normverstöße mit gewichtigen Auswirkungen (gewichtige Mängel),</w:t>
      </w:r>
    </w:p>
    <w:p>
      <w:pPr>
        <w:ind w:left="420"/>
      </w:pPr>
      <w:r>
        <w:t xml:space="preserve">5. F-4 Normverstöße mit schwergewichtigen Auswirkungen (schwergewichtige Mängel) oder</w:t>
      </w:r>
    </w:p>
    <w:p>
      <w:pPr>
        <w:ind w:left="420"/>
      </w:pPr>
      <w:r>
        <w:t xml:space="preserve">6. F-5 die Nichtanwendbarkeit der Prüfungspflicht im geprüften Wertpapierinstitut, insbesondere, weil zugrundeliegende gesetzliche Pflichten im Einzelfall im Hinblick auf die Geschäftstätigkeit des Wertpapierinstituts nicht relevant sind.</w:t>
      </w:r>
    </w:p>
    <w:p>
      <w:r>
        <w:t xml:space="preserve">(2) Für die Klassifizierung von Prüfungsfeststellungen nach Absatz 1 ist der Prüfungsleiter vor Ort verantwortlich. Die Klassifizierung ist im Bericht im Rahmen der Darstellung des Mangels vorzunehmen.</w:t>
      </w:r>
    </w:p>
    <w:p>
      <w:r>
        <w:t xml:space="preserve">(3) Dem Bericht sind zusätzlich tabellarische Übersichten über die aufgeführten Prüfungsfeststellungen nach Anlage 3 und über die übrigen festgestellten Mängel nach Anlage 4 beizufügen.</w:t>
      </w:r>
    </w:p>
    <w:p>
      <w:r>
        <w:rPr>
          <w:color w:val="555555"/>
          <w:sz w:val="17"/>
        </w:rPr>
        <w:t xml:space="preserve">Zitiervorschlag: § 6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