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WpIPrüfbV — Übergangsregelung aus Anlass der Verordnung (EU) 2022/2554</w:t>
      </w:r>
    </w:p>
    <w:p>
      <w:r>
        <w:rPr>
          <w:color w:val="555555"/>
          <w:sz w:val="18"/>
        </w:rPr>
        <w:t xml:space="preserve">Wertpapierinstituts-Prüfungsberichtsverordnung</w:t>
      </w:r>
    </w:p>
    <w:p>
      <w:r>
        <w:rPr>
          <w:color w:val="555555"/>
          <w:sz w:val="18"/>
        </w:rPr>
        <w:t xml:space="preserve">Stand: 11.09.2026 (konsolidierte Textfassung, kein amtliches Inkrafttretensdatum)</w:t>
      </w:r>
    </w:p>
    <w:p>
      <w:r>
        <w:t xml:space="preserve">Die Bestimmungen betreffend die Beurteilung, ob die Wertpapierinstitute die Anforderungen der Verordnung (EU) 2022/2554 eingehalten haben, sind erstmals anzuwenden auf Rechnungslegungsunterlagen für ein nach dem 31. Dezember 2024 beginnendes Geschäftsjahr. Auf Rechnungslegungsunterlagen für ein vor dem 1. Januar 2025 beginnendes Geschäftsjahr findet die Wertpapierinstituts-Prüfungsberichtsverordnung in der Fassung vom 7. Dezember 2023 (BGBl. 2023 I Nr. 350) weiterhin Anwendung.</w:t>
      </w:r>
    </w:p>
    <w:p>
      <w:r>
        <w:rPr>
          <w:color w:val="555555"/>
          <w:sz w:val="17"/>
        </w:rPr>
        <w:t xml:space="preserve">Zitiervorschlag: § 41 WpIPrüfbV</w:t>
      </w:r>
    </w:p>
    <w:p>
      <w:r>
        <w:rPr>
          <w:color w:val="555555"/>
          <w:sz w:val="17"/>
        </w:rPr>
        <w:t xml:space="preserve">Quelle: Bundesamt für Justiz, abgerufen 11.09.2026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https://recht.nulegal.eu/gesetze/WpIPr%C3%BCfbV/41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