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WpIPrüfbV — Ergänzende Vorschriften für Unternehmen eines Finanzkonglomerats (§§ 17, 18, 23 und 25 des Finanzkonglomerate-Aufsichtsgesetzes)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Bei übergeordneten Unternehmen eines Finanzkonglomerats im Sinne von § 12 des Finanzkonglomerate-Aufsichtsgesetzes ist darzustellen, ob die Berechnung der Eigenmittel des Finanzkonglomerats § 18 des Finanzkonglomerate-Aufsichtsgesetzes entspricht, und darüber zu berichten, ob das Unternehmen die Meldepflicht nach § 17 Absatz 2 Satz 2 des Finanzkonglomerate-Aufsichtsgesetzes eingehalten hat.</w:t>
      </w:r>
    </w:p>
    <w:p>
      <w:r>
        <w:t xml:space="preserve">(2) Es ist darüber zu berichten, mit welchen Vorkehrungen das übergeordnete Unternehmen die Vorgaben der §§ 23 und 25 des Finanzkonglomerate-Aufsichtsgesetzes einhält. Diese Berichterstattung umfasst auch die Einhaltung der Anzeigevorschriften nach § 23 Absatz 1 und 3 Satz 6 des Finanzkonglomerate-Aufsichtsgesetzes.</w:t>
      </w:r>
    </w:p>
    <w:p>
      <w:r>
        <w:rPr>
          <w:color w:val="555555"/>
          <w:sz w:val="17"/>
        </w:rPr>
        <w:t xml:space="preserve">Zitiervorschlag: § 39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