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WpIPrüfbV — Berichterstattung zu Gruppen und Konsolidierung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Der Prüfer hat nach § 78 Absatz 5 Satz 1 Nummer 1 des Wertpapierinstitutsgesetzes zu prüfen und darüber zu berichten, ob die Gruppe der einzubeziehenden Unternehmen richtig bestimmt wurde. Diese sind unter der Angabe der Unternehmensart darzustellen.</w:t>
      </w:r>
    </w:p>
    <w:p>
      <w:r>
        <w:t xml:space="preserve">(2) Der Prüfer hat nach § 78 Absatz 5 Satz 1 Nummer 2 des Wertpapierinstitutsgesetzes zu prüfen und darüber zu berichten, ob die Anforderungen an die Konsolidierung nach Artikel 7 der Verordnung (EU) 2019/2033 oder an den Gruppenkapitaltest nach Artikel 8 der Verordnung (EU) 2019/2033 eingehalten wurden.</w:t>
      </w:r>
    </w:p>
    <w:p>
      <w:r>
        <w:t xml:space="preserve">(3) Der Prüfer hat zu prüfen, ob die nach § 67 des Wertpapierinstitutsgesetzes auf Gruppenebene vorzunehmenden Anzeigen zutreffend abgegeben wurden.</w:t>
      </w:r>
    </w:p>
    <w:p>
      <w:r>
        <w:rPr>
          <w:color w:val="555555"/>
          <w:sz w:val="17"/>
        </w:rPr>
        <w:t xml:space="preserve">Zitiervorschlag: § 37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WpIPrüfbV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