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WpIPrüfbV — Erläuterungen zur Rechnungslegung</w:t>
      </w:r>
    </w:p>
    <w:p>
      <w:r>
        <w:rPr>
          <w:color w:val="555555"/>
          <w:sz w:val="18"/>
        </w:rPr>
        <w:t xml:space="preserve">Wertpapierinstituts-Prüfungsberichtsverordnung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Die Bilanzposten, die Angaben unter dem Bilanzstrich und die Posten der Gewinn- und Verlustrechnung sind unter Berücksichtigung des Grundsatzes der Wesentlichkeit des jeweiligen Postens zu erläutern und mit den Vorjahreszahlen zu vergleichen.</w:t>
      </w:r>
    </w:p>
    <w:p>
      <w:r>
        <w:rPr>
          <w:color w:val="555555"/>
          <w:sz w:val="17"/>
        </w:rPr>
        <w:t xml:space="preserve">Zitiervorschlag: § 35 WpIPrüfbV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https://recht.nulegal.eu/gesetze/WpIPr%C3%BCfbV/35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