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WpIPrüfbV — Entwicklung der Ertragslage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Die Entwicklung der Ertragslage des Wertpapierinstituts ist zu beurteilen.</w:t>
      </w:r>
    </w:p>
    <w:p>
      <w:r>
        <w:t xml:space="preserve">(2) Auf der Basis der Unterlagen des Wertpapierinstituts ist auch über die Ertragslage der wesentlichen Geschäftssparten zu berichten; dabei sind jeweils die wichtigsten Erfolgsquellen und Erfolgsfaktoren sowie die wesentlichen Planungsannahmen gesondert darzustellen.</w:t>
      </w:r>
    </w:p>
    <w:p>
      <w:r>
        <w:t xml:space="preserve">(3) Mögliche Auswirkungen von Risiken auf die Entwicklung der Ertragslage sind darzustellen.</w:t>
      </w:r>
    </w:p>
    <w:p>
      <w:r>
        <w:rPr>
          <w:color w:val="555555"/>
          <w:sz w:val="17"/>
        </w:rPr>
        <w:t xml:space="preserve">Zitiervorschlag: § 33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