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WpIPrüfbV — Entwicklung der Vermögenslage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Die Entwicklung der Vermögenslage des Wertpapierinstituts ist zu beurteilen. Besonderheiten, die für die Beurteilung der Vermögenslage von Bedeutung sind, insbesondere Art und Umfang bilanzunwirksamer Ansprüche und Verpflichtungen, sind hervorzuheben.</w:t>
      </w:r>
    </w:p>
    <w:p>
      <w:r>
        <w:t xml:space="preserve">(2) Die Berichterstattung hat sich auch zu erstrecken auf</w:t>
      </w:r>
    </w:p>
    <w:p>
      <w:pPr>
        <w:ind w:left="420"/>
      </w:pPr>
      <w:r>
        <w:t xml:space="preserve">1. Art und Umfang stiller Reserven und stiller Lasten, unter besonderer Darstellung von vermiedenen Wertpapierabschreibungen,</w:t>
      </w:r>
    </w:p>
    <w:p>
      <w:pPr>
        <w:ind w:left="420"/>
      </w:pPr>
      <w:r>
        <w:t xml:space="preserve">2. bedeutende Verträge und schwebende Rechtsstreitigkeiten, soweit sich nachteilige Auswirkungen auf die Vermögenslage ergeben könnten, und die Bildung der notwendigen Rückstellungen,</w:t>
      </w:r>
    </w:p>
    <w:p>
      <w:pPr>
        <w:ind w:left="420"/>
      </w:pPr>
      <w:r>
        <w:t xml:space="preserve">3. alle abgegebenen Patronatserklärungen; dazu ist der Inhalt dieser Erklärungen darzustellen und ihre Rechtsverbindlichkeit zu beurteilen, sowie</w:t>
      </w:r>
    </w:p>
    <w:p>
      <w:pPr>
        <w:ind w:left="420"/>
      </w:pPr>
      <w:r>
        <w:t xml:space="preserve">4. nachrangige Vermögensgegenstände.</w:t>
      </w:r>
    </w:p>
    <w:p>
      <w:r>
        <w:rPr>
          <w:color w:val="555555"/>
          <w:sz w:val="17"/>
        </w:rPr>
        <w:t xml:space="preserve">Zitiervorschlag: § 32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