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WpIPrüfbV — Wertpapierdarlehen</w:t>
      </w:r>
    </w:p>
    <w:p>
      <w:r>
        <w:rPr>
          <w:color w:val="555555"/>
          <w:sz w:val="18"/>
        </w:rPr>
        <w:t xml:space="preserve">Wertpapierinstituts-Prüfungsberichtsverordnung</w:t>
      </w:r>
    </w:p>
    <w:p>
      <w:r>
        <w:rPr>
          <w:color w:val="555555"/>
          <w:sz w:val="18"/>
        </w:rPr>
        <w:t xml:space="preserve">Stand: 12.12.2023 (konsolidierte Textfassung, kein amtliches Inkrafttretensdatum)</w:t>
      </w:r>
    </w:p>
    <w:p>
      <w:r>
        <w:t xml:space="preserve">Vergibt das Wertpapierinstitut Darlehen im Sinne von § 2 Absatz 3 Nummer 2 des Wertpapierinstitutsgesetzes zum Zwecke des darlehensfinanzierten Erwerbs von Wertpapieren, so hat der Prüfer zum Abschlussstichtag zu berichten über</w:t>
      </w:r>
    </w:p>
    <w:p>
      <w:pPr>
        <w:ind w:left="420"/>
      </w:pPr>
      <w:r>
        <w:t xml:space="preserve">1. das gesamte Volumen der Darlehen und die Anzahl sämtlicher Darlehensnehmer sowie</w:t>
      </w:r>
    </w:p>
    <w:p>
      <w:pPr>
        <w:ind w:left="420"/>
      </w:pPr>
      <w:r>
        <w:t xml:space="preserve">2. das Volumen und die Anzahl der unbesicherten Darlehen.</w:t>
      </w:r>
    </w:p>
    <w:p>
      <w:r>
        <w:rPr>
          <w:color w:val="555555"/>
          <w:sz w:val="17"/>
        </w:rPr>
        <w:t xml:space="preserve">Zitiervorschlag: § 29 WpIPrüfbV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https://recht.nulegal.eu/gesetze/WpIPr%C3%BCfbV/29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