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WpIPrüfbV — Ausnahmen für gruppenangehörige Wertpapierinstitute</w:t>
      </w:r>
    </w:p>
    <w:p>
      <w:r>
        <w:rPr>
          <w:color w:val="555555"/>
          <w:sz w:val="18"/>
        </w:rPr>
        <w:t xml:space="preserve">Wertpapierinstituts-Prüfungsberichtsverordnung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(1) Auf gruppenangehörige Unternehmen von Wertpapierinstitutsgruppen, die die Bundesanstalt nach Artikel 6 der Verordnung (EU) 2019/2033 freigestellt hat, sind nach Maßgabe der Freistellung die Vorschriften der §§ 17 bis 19 und 23 nicht anwendbar.</w:t>
      </w:r>
    </w:p>
    <w:p>
      <w:r>
        <w:t xml:space="preserve">(2) Der Prüfer hat darüber zu berichten, ob die Voraussetzungen nach Artikel 6 der Verordnung (EU) 2019/2033 vorliegen.</w:t>
      </w:r>
    </w:p>
    <w:p>
      <w:r>
        <w:rPr>
          <w:color w:val="555555"/>
          <w:sz w:val="17"/>
        </w:rPr>
        <w:t xml:space="preserve">Zitiervorschlag: § 25 WpIPrüfbV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https://recht.nulegal.eu/gesetze/WpIPr%C3%BCfbV/25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