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WpIPrüfbV — Liquiditätslage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Die Liquiditätslage und die Liquiditätssteuerung sind zu beurteilen. Über Maßnahmen zur Verbesserung der Liquiditätslage ist zu berichten.</w:t>
      </w:r>
    </w:p>
    <w:p>
      <w:r>
        <w:t xml:space="preserve">(2) Es ist zu beurteilen, ob das Wertpapierinstitut die Anforderungen an die Liquidität nach Teil 5 der Verordnung (EU) 2019/2033 erfüllt hat. Auf Änderungen gegenüber dem letzten Berichtszeitraum ist einzugehen.</w:t>
      </w:r>
    </w:p>
    <w:p>
      <w:r>
        <w:rPr>
          <w:color w:val="555555"/>
          <w:sz w:val="17"/>
        </w:rPr>
        <w:t xml:space="preserve">Zitiervorschlag: § 22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