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WpIPrüfbV — Sanierungsplanung</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Im Rahmen der Prüfung nach § 78 Absatz 1 Satz 5 und 6 des Wertpapierinstitutsgesetzes ist gegebenenfalls zu beurteilen, ob der aufzustellende Sanierungsplan die Voraussetzungen nach § 12 Absatz 1 sowie nach § 13 Absatz 1 bis 4 des Sanierungs- und Abwicklungsgesetzes erfüllt und unter den nachfolgenden Maßgaben darüber zu berichten. Der Prüfer hat die wesentlichen für die Sanierungsplanung relevanten Aspekte auf sachliche Richtigkeit und Angemessenheit zu prüfen. Der Prüfer hat dabei gegebenenfalls festgelegte vereinfachte Anforderungen nach § 19 des Sanierungs- und Abwicklungsgesetzes zu berücksichtigen. Soweit der Sanierungsplan Annahmen, Wertungen oder Schlussfolgerungen enthält, sind diese auf ihre Plausibilität und Nachvollziehbarkeit zu prüfen. Insbesondere hat der Prüfer zu beurteilen:</w:t>
      </w:r>
    </w:p>
    <w:p>
      <w:pPr>
        <w:ind w:left="420"/>
      </w:pPr>
      <w:r>
        <w:t xml:space="preserve">1. die Darstellung der Unternehmensstruktur und des Geschäftsmodells, die Benennung der wesentlichen Geschäftsaktivitäten und der kritischen Funktionen sowie die Beschreibung der internen und externen Vernetzungsstrukturen in dem Sanierungsplan nach § 13 Absatz 2 Nummer 2 des Sanierungs- und Abwicklungsgesetzes,</w:t>
      </w:r>
    </w:p>
    <w:p>
      <w:pPr>
        <w:ind w:left="420"/>
      </w:pPr>
      <w:r>
        <w:t xml:space="preserve">2. die grundsätzliche Eignung, die Auswirkungen und die Umsetzbarkeit der in dem Sanierungsplan enthaltenen Handlungsoptionen nach § 13 Absatz 2 Nummer 3 bis 5 des Sanierungs- und Abwicklungsgesetzes; die wertpapierinstitutsspezifischen Gegebenheiten sind hierbei zu berücksichtigen,</w:t>
      </w:r>
    </w:p>
    <w:p>
      <w:pPr>
        <w:ind w:left="420"/>
      </w:pPr>
      <w:r>
        <w:t xml:space="preserve">3. die qualitativen und quantitativen Indikatoren nach § 13 Absatz 2 Nummer 6 des Sanierungs- und Abwicklungsgesetzes dahingehend, ob sie die wertpapierinstitutsspezifischen Besonderheiten angemessen berücksichtigen und innerhalb eines definierten Eskalations- und Informationsprozesses im Krisenfall eine rechtzeitige Durchführung von Handlungsoptionen ermöglichen,</w:t>
      </w:r>
    </w:p>
    <w:p>
      <w:pPr>
        <w:ind w:left="420"/>
      </w:pPr>
      <w:r>
        <w:t xml:space="preserve">4. die Szenarien für schwerwiegende Belastungen nach § 13 Absatz 2 Nummer 7 des Sanierungs- und Abwicklungsgesetzes hinsichtlich der Abdeckung der wesentlichen Risikotreiber, der Nachvollziehbarkeit und der wertpapierinstitutsspezifischen Eignung; im Hinblick auf die Eignung der Szenarien sind neben den wertpapierinstitutsspezifischen Vorgaben auch die aufsichtlichen Anforderungen an die besondere Schwere der Belastungen sowie die Art des jeweiligen Szenarios zu berücksichtigen,</w:t>
      </w:r>
    </w:p>
    <w:p>
      <w:pPr>
        <w:ind w:left="420"/>
      </w:pPr>
      <w:r>
        <w:t xml:space="preserve">5. die Wirksamkeit und Umsetzbarkeit des Sanierungsplans nach § 13 Absatz 2 Nummer 8 des Sanierungs- und Abwicklungsgesetzes; dabei ist darauf einzugehen, ob die Beschreibung und die Analyse des Zusammenwirkens von Belastungsszenarien, Indikatoren und Handlungsoptionen ausreichend im Hinblick auf die zugrundeliegenden Annahmen, angemessen und im Hinblick auf die hieraus resultierenden Analysen nachvollziehbar sind,</w:t>
      </w:r>
    </w:p>
    <w:p>
      <w:pPr>
        <w:ind w:left="420"/>
      </w:pPr>
      <w:r>
        <w:t xml:space="preserve">6. das Kommunikations- und Informationskonzept nach § 13 Absatz 2 Nummer 9 des Sanierungs- und Abwicklungsgesetzes im Hinblick darauf, ob dieses die Besonderheiten der einzelnen Handlungsoptionen angemessen berücksichtigt, und</w:t>
      </w:r>
    </w:p>
    <w:p>
      <w:pPr>
        <w:ind w:left="420"/>
      </w:pPr>
      <w:r>
        <w:t xml:space="preserve">7. die vorbereitenden Maßnahmen nach § 13 Absatz 2 Nummer 10 des Sanierungs- und Abwicklungsgesetzes, deren Eignung sowie das Vorhandensein eines angemessenen Zeitplans und Monitoringkonzepts für die Umsetzung; hierbei ist auch zu beurteilen, ob die aufgrund der Prüfung festgestellten Mängel durch die vorbereitenden Maßnahmen beseitigt werden können.</w:t>
      </w:r>
    </w:p>
    <w:p>
      <w:r>
        <w:rPr>
          <w:color w:val="555555"/>
          <w:sz w:val="17"/>
        </w:rPr>
        <w:t xml:space="preserve">Zitiervorschlag: § 16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