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WpIPrüfbV — Anwendungsbereich</w:t>
      </w:r>
    </w:p>
    <w:p>
      <w:r>
        <w:rPr>
          <w:color w:val="555555"/>
          <w:sz w:val="18"/>
        </w:rPr>
        <w:t xml:space="preserve">Wertpapierinstituts-Prüfungsberichtsverordnung</w:t>
      </w:r>
    </w:p>
    <w:p>
      <w:r>
        <w:rPr>
          <w:color w:val="555555"/>
          <w:sz w:val="18"/>
        </w:rPr>
        <w:t xml:space="preserve">Stand: 12.12.2023 (konsolidierte Textfassung, kein amtliches Inkrafttretensdatum)</w:t>
      </w:r>
    </w:p>
    <w:p>
      <w:r>
        <w:t xml:space="preserve">Diese Verordnung regelt</w:t>
      </w:r>
    </w:p>
    <w:p>
      <w:pPr>
        <w:ind w:left="420"/>
      </w:pPr>
      <w:r>
        <w:t xml:space="preserve">1. den Gegenstand und den Zeitpunkt der Prüfung nach § 78 des Wertpapierinstitutsgesetzes für Kleine und Mittlere Wertpapierinstitute im Sinne von § 2 Absatz 16 und 17 des Wertpapierinstitutsgesetzes sowie</w:t>
      </w:r>
    </w:p>
    <w:p>
      <w:pPr>
        <w:ind w:left="420"/>
      </w:pPr>
      <w:r>
        <w:t xml:space="preserve">2. den Inhalt der Prüfungsberichte im Sinne von § 76 Absatz 1 Satz 3 des Wertpapierinstitutsgesetzes und die Form, in der Prüfungsberichte bei der Bundesanstalt für Finanzdienstleistungsaufsicht (Bundesanstalt) und der Deutschen Bundesbank einzureichen sind.</w:t>
      </w:r>
    </w:p>
    <w:p>
      <w:r>
        <w:rPr>
          <w:color w:val="555555"/>
          <w:sz w:val="17"/>
        </w:rPr>
        <w:t xml:space="preserve">Zitiervorschlag: § 1 WpIPrüfbV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https://recht.nulegal.eu/gesetze/WpIPr%C3%BCfbV/1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