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WpIG — Bußgeldvorschriften</w:t>
      </w:r>
    </w:p>
    <w:p>
      <w:r>
        <w:rPr>
          <w:color w:val="555555"/>
          <w:sz w:val="18"/>
        </w:rPr>
        <w:t xml:space="preserve">Wertpapierinstitutsgesetz</w:t>
      </w:r>
    </w:p>
    <w:p>
      <w:r>
        <w:rPr>
          <w:color w:val="555555"/>
          <w:sz w:val="18"/>
        </w:rPr>
        <w:t xml:space="preserve">Stand: 01.04.2026 (konsolidierte Textfassung, kein amtliches Inkrafttretensdatum)</w:t>
      </w:r>
    </w:p>
    <w:p>
      <w:r>
        <w:t xml:space="preserve">(1) Ordnungswidrig handelt, wer vorsätzlich oder fahrlässig</w:t>
      </w:r>
    </w:p>
    <w:p>
      <w:pPr>
        <w:ind w:left="420"/>
      </w:pPr>
      <w:r>
        <w:t xml:space="preserve">1. entgegen § 5 Absatz 4 Satz 1 eine Auskunft nicht, nicht richtig, nicht vollständig oder nicht rechtzeitig erteilt oder eine Unterlage nicht, nicht richtig, nicht vollständig oder nicht rechtzeitig vorlegt,</w:t>
      </w:r>
    </w:p>
    <w:p>
      <w:pPr>
        <w:ind w:left="420"/>
      </w:pPr>
      <w:r>
        <w:t xml:space="preserve">2. entgegen § 5 Absatz 4 Satz 5, auch in Verbindung mit Satz 6, oder entgegen § 5 Absatz 5 Satz 6, Absatz 8 Satz 10 oder Absatz 9 Satz 3 eine Maßnahme nicht duldet,</w:t>
      </w:r>
    </w:p>
    <w:p>
      <w:pPr>
        <w:ind w:left="420"/>
      </w:pPr>
      <w:r>
        <w:t xml:space="preserve">3. entgegen § 20 Absatz 8 einen Geschäftsleiter bestellt,</w:t>
      </w:r>
    </w:p>
    <w:p>
      <w:pPr>
        <w:ind w:left="420"/>
      </w:pPr>
      <w:r>
        <w:t xml:space="preserve">4. entgegen § 21 Absatz 6 ein Mitglied eines Verwaltungs- oder Aufsichtsorgans bestellt,</w:t>
      </w:r>
    </w:p>
    <w:p>
      <w:pPr>
        <w:ind w:left="420"/>
      </w:pPr>
      <w:r>
        <w:t xml:space="preserve">5. entgegen</w:t>
      </w:r>
    </w:p>
    <w:p>
      <w:pPr>
        <w:ind w:left="780"/>
      </w:pPr>
      <w:r>
        <w:t xml:space="preserve">a) § 24 Absatz 1 Satz 1, Absatz 2 Satz 1 oder 4, Absatz 3 Satz 1, auch in Verbindung mit Satz 2 oder 3, oder entgegen § 24 Absatz 5, jeweils auch in Verbindung mit einer Rechtsverordnung nach § 14 Absatz 3 Satz 1 oder 3, oder</w:t>
      </w:r>
    </w:p>
    <w:p>
      <w:pPr>
        <w:ind w:left="780"/>
      </w:pPr>
      <w:r>
        <w:t xml:space="preserve">b) § 64 Absatz 1 oder 2 Satz 2, den §§ 65, 66 Absatz 1 Satz 1, § 67 Absatz 1 oder 2 Satz 1, § 70 Absatz 1 Satz 1, auch in Verbindung mit Satz 2, § 71 Absatz 1 Satz 1 oder Absatz 4 Satz 1 oder § 72 Absatz 1 Satz 1</w:t>
      </w:r>
    </w:p>
    <w:p>
      <w:pPr>
        <w:ind w:left="420"/>
      </w:pPr>
      <w:r>
        <w:t xml:space="preserve">eine Anzeige nicht, nicht richtig oder nicht rechtzeitig erstattet,</w:t>
      </w:r>
    </w:p>
    <w:p>
      <w:pPr>
        <w:ind w:left="420"/>
      </w:pPr>
      <w:r>
        <w:t xml:space="preserve">6. entgegen § 28 Absatz 1 nicht sicherstellt, dass ein vertraglich gebundener Vermittler zuverlässig und geeignet ist und einen Kunden informiert und in Kenntnis setzt,</w:t>
      </w:r>
    </w:p>
    <w:p>
      <w:pPr>
        <w:ind w:left="420"/>
      </w:pPr>
      <w:r>
        <w:t xml:space="preserve">7. entgegen § 28 Absatz 2 einen Nachweis nicht oder nicht mindestens fünf Jahre aufbewahrt,</w:t>
      </w:r>
    </w:p>
    <w:p>
      <w:pPr>
        <w:ind w:left="420"/>
      </w:pPr>
      <w:r>
        <w:t xml:space="preserve">8. entgegen § 37 Nummer 1 eine Korrespondenzbeziehung oder eine sonstige Geschäftsbeziehung mit einer Bank-Mantelgesellschaft aufnimmt oder fortführt,</w:t>
      </w:r>
    </w:p>
    <w:p>
      <w:pPr>
        <w:ind w:left="420"/>
      </w:pPr>
      <w:r>
        <w:t xml:space="preserve">9. entgegen § 37 Nummer 2 erster Halbsatz ein Konto errichtet oder führt,</w:t>
      </w:r>
    </w:p>
    <w:p>
      <w:pPr>
        <w:ind w:left="420"/>
      </w:pPr>
      <w:r>
        <w:t xml:space="preserve">10. einer vollziehbaren Anordnung nach § 49, § 54 oder § 68 zuwiderhandelt oder</w:t>
      </w:r>
    </w:p>
    <w:p>
      <w:pPr>
        <w:ind w:left="420"/>
      </w:pPr>
      <w:r>
        <w:t xml:space="preserve">11. entgegen § 66 Absatz 2 Satz 1 oder § 76 Absatz 1 Satz 1 oder Satz 3 eine Finanzinformation, einen Jahresabschluss, einen Lagebericht oder einen Prüfungsbericht nicht, nicht richtig, nicht vollständig oder nicht rechtzeitig einreicht.</w:t>
      </w:r>
    </w:p>
    <w:p>
      <w:r>
        <w:t xml:space="preserve">(2) Ordnungswidrig handelt, wer eine Rückzahlung von Verbindlichkeiten aus Eigenmittelinstrumenten eines Großen Wertpapierinstituts, die nach Artikel 28 Absatz 1 Unterabsatz 1 Buchstabe b, Artikel 52 Absatz 1 Unterabsatz 1 Buchstabe a oder Artikel 63 Unterabsatz 1 Buchstabe a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die zuletzt durch die Verordnung (EU) 2020/873 (ABl. L 204 vom 26.6.2020, S. 4) geändert worden ist, voll eingezahlt sein müssen, an einen Inhaber der betreffenden Eigenmittelinstrumente leistet.</w:t>
      </w:r>
    </w:p>
    <w:p>
      <w:r>
        <w:t xml:space="preserve">(3) Ordnungswidrig handelt, wer entgegen Artikel 5 Absatz 1 der Durchführungsverordnung (EU) 2017/1945 der Kommission vom 19. Juni 2017 zur Festlegung technischer Durchführungsstandards für Mitteilungen von und an Wertpapierfirmen, die eine Zulassung beantragen oder besitzen, gemäß der Richtlinie 2014/65/EU des Europäischen Parlaments und des Rates (ABl. L 276 vom 26.10.2017, S. 22) eine Mitteilung nicht, nicht richtig, nicht vollständig oder nicht rechtzeitig macht.</w:t>
      </w:r>
    </w:p>
    <w:p>
      <w:r>
        <w:t xml:space="preserve">(4) Ordnungswidrig handelt, wer gegen die Verordnung (EU) 2019/2033 des Europäischen Parlaments und des Rates vom 27. November 2019 über Aufsichtsanforderungen an Wertpapierfirmen und zur Änderung der Verordnungen (EU) Nr. 1093/2010, (EU) Nr. 575/2013, (EU) Nr. 600/2014 und (EU) Nr. 806/2014 (ABl. L 314 vom 5.12.2019, S. 1) verstößt, indem er</w:t>
      </w:r>
    </w:p>
    <w:p>
      <w:pPr>
        <w:ind w:left="420"/>
      </w:pPr>
      <w:r>
        <w:t xml:space="preserve">1. entgegen Artikel 38 Absatz 1 in Verbindung mit Artikel 37 Absatz 1 eine Meldung nicht, nicht richtig, nicht vollständig oder nicht rechtzeitig macht,</w:t>
      </w:r>
    </w:p>
    <w:p>
      <w:pPr>
        <w:ind w:left="420"/>
      </w:pPr>
      <w:r>
        <w:t xml:space="preserve">2. entgegen Artikel 43 Absatz 1 Unterabsatz 1</w:t>
      </w:r>
    </w:p>
    <w:p>
      <w:pPr>
        <w:ind w:left="780"/>
      </w:pPr>
      <w:r>
        <w:t xml:space="preserve">a) liquide Aktiva über einen Zeitraum von mehr als einem Monat nicht hält oder</w:t>
      </w:r>
    </w:p>
    <w:p>
      <w:pPr>
        <w:ind w:left="780"/>
      </w:pPr>
      <w:r>
        <w:t xml:space="preserve">b) liquide Aktiva nicht hält und diese Handlung beharrlich wiederholt,</w:t>
      </w:r>
    </w:p>
    <w:p>
      <w:pPr>
        <w:ind w:left="420"/>
      </w:pPr>
      <w:r>
        <w:t xml:space="preserve">3. entgegen Artikel 46 Absatz 1, 2 oder 3, Artikel 47, Artikel 48, Artikel 49 Absatz 1, Artikel 50, Artikel 51 Absatz 1 oder Artikel 53 eine Offenlegung nicht, nicht richtig, nicht vollständig oder nicht rechtzeitig vornimmt oder</w:t>
      </w:r>
    </w:p>
    <w:p>
      <w:pPr>
        <w:ind w:left="420"/>
      </w:pPr>
      <w:r>
        <w:t xml:space="preserve">4. entgegen Artikel 54 Absatz 1 Unterabsatz 1 Buchstabe b oder e in Verbindung mit Absatz 2 Unterabsatz 1 eine Meldung nicht richtig oder nicht vollständig macht.</w:t>
      </w:r>
    </w:p>
    <w:p>
      <w:r>
        <w:t xml:space="preserve">(4a) Zuwiderhandlungen gegen die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durch Personen im Anwendungsbereich dieses Gesetzes können nach § 56 Absatz 5e und 6 Nummer 1 und 2 des Kreditwesengesetzes geahndet werden.</w:t>
      </w:r>
    </w:p>
    <w:p>
      <w:r>
        <w:t xml:space="preserve">(5) Die Ordnungswidrigkeit kann in den Fällen des Absatzes 1 Nummer 3 bis 5 Buchstabe a, Nummer 6, 8 und 9 und der Absätze 2 und 4 mit einer Geldbuße bis zu fünf Millionen Euro geahndet werden. In den übrigen Fällen des Absatzes 1 und in den Fällen des Absatzes 3 kann die Ordnungswidrigkeit mit einer Geldbuße bis zu hunderttausend Euro geahndet werden.</w:t>
      </w:r>
    </w:p>
    <w:p>
      <w:r>
        <w:t xml:space="preserve">(6) Bei einer juristischen Person oder Personenvereinigung mit einem jährlichen Gesamtumsatz von mehr als 50 Millionen Euro kann abweichend von Absatz 5 Satz 1 eine Ordnungswidrigkeit</w:t>
      </w:r>
    </w:p>
    <w:p>
      <w:pPr>
        <w:ind w:left="420"/>
      </w:pPr>
      <w:r>
        <w:t xml:space="preserve">1. nach Absatz 1 Nummer 3 bis 5 Buchstabe a, Nummer 6, 8 und 9 und Absatz 4 sowie</w:t>
      </w:r>
    </w:p>
    <w:p>
      <w:pPr>
        <w:ind w:left="420"/>
      </w:pPr>
      <w:r>
        <w:t xml:space="preserve">2. nach Absatz 2</w:t>
      </w:r>
    </w:p>
    <w:p>
      <w:r>
        <w:t xml:space="preserve">mit einer Geldbuße bis zu 10 Prozent des jährlichen Gesamtumsatzes einschließlich des Bruttoertrags nach Satz 2 geahndet werden. Der Bruttoertrag nach Satz 1 besteht aus Zinserträgen und ähnlichen Erträgen, Erträgen aus Aktien, anderen Anteilsrechten und variabel verzinslichen oder festverzinslichen Wertpapieren sowie Erträgen aus Provisionen und Gebühren des Unternehmens im Geschäftsjahr, das der Tat vorangegangen ist.</w:t>
      </w:r>
    </w:p>
    <w:p>
      <w:r>
        <w:t xml:space="preserve">(7) Bei einer juristischen Person oder Personenvereinigung kann über Absatz 5 Satz 1 oder Absatz 6 Satz 1 Nummer 1 hinaus eine Ordnungswidrigkeit nach Absatz 1 Nummer 3 bis 5 Buchstabe a, Nummer 6, 8 und 9 und Absatz 4 mit einer Geldbuße bis zum Zweifachen des durch den Verstoß erzielten Gewinns oder verhinderten Verlusts geahndet werden, sofern sich ein solcher Gewinn oder Verlust beziffern lässt.</w:t>
      </w:r>
    </w:p>
    <w:p>
      <w:r>
        <w:t xml:space="preserve">(8) Die Ordnungswidrigkeit kann in den Fällen des Absatzes 2</w:t>
      </w:r>
    </w:p>
    <w:p>
      <w:pPr>
        <w:ind w:left="420"/>
      </w:pPr>
      <w:r>
        <w:t xml:space="preserve">1. bei einer natürlichen Person über Absatz 5 Satz 1 hinaus und</w:t>
      </w:r>
    </w:p>
    <w:p>
      <w:pPr>
        <w:ind w:left="420"/>
      </w:pPr>
      <w:r>
        <w:t xml:space="preserve">2. bei einer juristischen Person oder Personenvereinigung über Absatz 5 Satz 1 oder Absatz 6 Satz 1 Nummer 2 hinaus</w:t>
      </w:r>
    </w:p>
    <w:p>
      <w:r>
        <w:t xml:space="preserve">mit einer Geldbuße bis zur zweifachen Höhe der durch den Verstoß erzielten Gewinne oder verhinderten Verluste geahndet werden, sofern diese sich beziffern lassen.</w:t>
      </w:r>
    </w:p>
    <w:p>
      <w:r>
        <w:t xml:space="preserve">(9) Gesamtumsatz im Sinne des Absatzes 6 Satz 1 ist</w:t>
      </w:r>
    </w:p>
    <w:p>
      <w:pPr>
        <w:ind w:left="420"/>
      </w:pPr>
      <w:r>
        <w:t xml:space="preserve">1. der sich aus dem auf das Unternehmen anwendbaren nationalen Recht im Einklang mit Artikel 27 Nummer 1, 3, 4, 6 und 7 oder Artikel 28 Buchstabe B Nummer 1 bis 4 und 7 der Richtlinie 86/635/EWG des Rates vom 8. Dezember 1986 über den Jahresabschluß und den konsolidierten Abschluß von Banken und anderen Finanzinstituten (ABl. L 372 vom 31.12.1986, S. 1; L 316 vom 23.11.1988, S. 51), die zuletzt durch die Richtlinie 2006/46/EG (ABl. L 224 vom 16.8.2006, S. 1) geändert worden ist, ergebende Gesamtbetrag, abzüglich der Umsatzsteuer und sonstiger direkt auf diese Erträge erhobener Steuern,</w:t>
      </w:r>
    </w:p>
    <w:p>
      <w:pPr>
        <w:ind w:left="420"/>
      </w:pPr>
      <w:r>
        <w:t xml:space="preserve">2. im Falle von Versicherungsunternehmen der sich aus dem auf das Versicherungsunternehmen anwendbaren nationalen Recht im Einklang mit Artikel 63 der Richtlinie 91/674/EWG des Rates vom 19. Dezember 1991 über den Jahresabschluß und den konsolidierten Abschluß von Versicherungsunternehmen (ABl. L 374 vom 31.12.1991, S. 7), die zuletzt durch die Richtlinie 2006/46/EG (ABl. L 224 vom 16.8.2006, S. 1) geändert worden ist, ergebende Gesamtbetrag, abzüglich der Umsatzsteuer und sonstiger direkt auf diese Erträge erhobener Steuern,</w:t>
      </w:r>
    </w:p>
    <w:p>
      <w:pPr>
        <w:ind w:left="420"/>
      </w:pPr>
      <w:r>
        <w:t xml:space="preserve">3. im Übrigen der Betrag der Nettoumsätze nach Maßgabe des auf das Unternehmen anwendbaren nationalen Rechts im Einklang mit Artikel 2 Nummer 5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L 369 vom 24.12.2014, S. 79), die zuletzt durch die Richtlinie 2014/102/EU (ABl. L 334 vom 21.11.2014, S. 86) geändert worden ist.</w:t>
      </w:r>
    </w:p>
    <w:p>
      <w:r>
        <w:t xml:space="preserve">Handelt es sich bei der juristischen Person oder der Personenvereinigung um das Mutterunternehmen oder um eine Tochtergesellschaft, so ist anstelle des Gesamtumsatzes der juristischen Person oder 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Satz 1 vergleichbaren Posten des Konzernabschlusses zu ermitteln. Ist ein Jahresabschluss oder Konzernabschluss für das maßgebliche Geschäftsjahr nicht verfügbar, ist der Jahres- oder Konzernabschluss für das unmittelbar vorangegangene Geschäftsjahr maßgeblich; ist auch dieser nicht verfügbar, kann der Gesamtumsatz geschätzt werden.</w:t>
      </w:r>
    </w:p>
    <w:p>
      <w:r>
        <w:t xml:space="preserve">(10) Verwaltungsbehörde im Sinne des § 36 Absatz 1 Nummer 1 des Gesetzes über Ordnungswidrigkeiten ist die Bundesanstalt für Finanzdienstleistungsaufsicht.</w:t>
      </w:r>
    </w:p>
    <w:p>
      <w:r>
        <w:rPr>
          <w:color w:val="555555"/>
          <w:sz w:val="17"/>
        </w:rPr>
        <w:t xml:space="preserve">Zitiervorschlag: § 83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