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WpIG — Strafvorschriften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Mit Freiheitsstrafe bis zu fünf Jahren oder mit Geldstrafe wird bestraft, wer ohne Erlaubnis nach § 15 Absatz 1 erster Halbsatz, Absatz 3, 4 Satz 1 oder Absatz 6 Satz 1 eine Wertpapierdienstleistung, eine Wertpapiernebendienstleistung oder ein Nebengeschäft erbringt, ein Finanzinstrument für eigene Rechnung anschafft oder veräußert, ein Eigengeschäft betreibt oder ein eigenes Finanzinstrument vertreibt.</w:t>
      </w:r>
    </w:p>
    <w:p>
      <w:r>
        <w:t xml:space="preserve">(1a) Ebenso wird bestraft, wer ohne Zulassung nach Artikel 27b Absatz 1 Unterabsatz 2 der Verordnung (EU) Nr. 600/2014 in der Fassung vom 23. Oktober 2024 eine Dienstleistung eines Datenbereitstellungsdienstes erbringt.</w:t>
      </w:r>
    </w:p>
    <w:p>
      <w:r>
        <w:t xml:space="preserve">(2) Handelt der Täter fahrlässig, so ist die Strafe Freiheitsstrafe bis zu drei Jahren oder Geldstrafe.</w:t>
      </w:r>
    </w:p>
    <w:p>
      <w:r>
        <w:rPr>
          <w:color w:val="555555"/>
          <w:sz w:val="17"/>
        </w:rPr>
        <w:t xml:space="preserve">Zitiervorschlag: § 82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