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WpIG — Befugnis zur Erstreckung der Verordnung (EU) Nr. 575/2013 auf bestimmte Wertpapierinstitute</w:t>
      </w:r>
    </w:p>
    <w:p>
      <w:r>
        <w:rPr>
          <w:color w:val="555555"/>
          <w:sz w:val="18"/>
        </w:rPr>
        <w:t xml:space="preserve">Wertpapierinstitutsgesetz</w:t>
      </w:r>
    </w:p>
    <w:p>
      <w:r>
        <w:rPr>
          <w:color w:val="555555"/>
          <w:sz w:val="18"/>
        </w:rPr>
        <w:t xml:space="preserve">Stand: 25.06.2026 (konsolidierte Textfassung, kein amtliches Inkrafttretensdatum)</w:t>
      </w:r>
    </w:p>
    <w:p>
      <w:r>
        <w:t xml:space="preserve">(1) Die Bundesanstalt kann anordnen, dass ein Wertpapierinstitut, das den Eigenhandel oder das Emissionsgeschäft betreibt und dessen zusammengerechnete Vermögenswerte, berechnet als Durchschnitt der vorausgegangenen zwölf Monate, 5 Milliarden Euro übersteigen, die Vorschriften der Verordnung (EU) Nr. 575/2013 anzuwenden hat, wenn das Wertpapierinstitut</w:t>
      </w:r>
    </w:p>
    <w:p>
      <w:pPr>
        <w:ind w:left="420"/>
      </w:pPr>
      <w:r>
        <w:t xml:space="preserve">1. die vorgenannten Dienstleistungen in einem solchen Umfang betreibt, dass ein Ausfall oder eine Notlage des Wertpapierinstituts zu einer Störung des Finanzsystems mit möglicherweise schwerwiegenden negativen Auswirkungen auf das Finanzsystem und die Realwirtschaft führen könnte,</w:t>
      </w:r>
    </w:p>
    <w:p>
      <w:pPr>
        <w:ind w:left="420"/>
      </w:pPr>
      <w:r>
        <w:t xml:space="preserve">2. ein Clearing-Mitglied im Sinne des Artikels 4 Absatz 1 Nummer 3 der Verordnung (EU) 2019/2033 in Verbindung mit Artikel 2 Nummer 14 der Verordnung (EU) Nr. 648/2012 ist oder</w:t>
      </w:r>
    </w:p>
    <w:p>
      <w:pPr>
        <w:ind w:left="420"/>
      </w:pPr>
      <w:r>
        <w:t xml:space="preserve">3. aufgrund seiner Größe, der Art, des Umfangs und der Komplexität seiner Tätigkeiten oder seiner grenzüberschreitend erbrachten Dienstleistungen erhebliche wirtschaftliche Bedeutung für die Volkswirtschaft der Europäischen Union oder des betreffenden Mitgliedstaates hat oder mit dem Finanzsystem der Europäischen Union oder dem Mitgliedstaat erheblich verbunden ist.</w:t>
      </w:r>
    </w:p>
    <w:p>
      <w:r>
        <w:t xml:space="preserve">(2) Absatz 1 ist nicht anzuwenden auf Warenderivatehändler, Emissionszertifikatehändler, Kapitalverwaltungsgesellschaften oder Versicherungsunternehmen.</w:t>
      </w:r>
    </w:p>
    <w:p>
      <w:r>
        <w:t xml:space="preserve">(3) Unterschreitet das Wertpapierinstitut über einen Zeitraum von zwölf Monaten den in Absatz 1 genannten Schwellenwert oder liegen die Voraussetzungen nach Absatz 1 nicht mehr vor, zeigt das Wertpapierinstitut dies der Bundesanstalt unverzüglich an. Die Bundesanstalt prüft die Anzeige und widerruft ihre Anordnung nach Absatz 1 bei Wegfall der betreffenden Voraussetzungen mit Wirkung zum Zeitpunkt des Eingangs der Anzeige.</w:t>
      </w:r>
    </w:p>
    <w:p>
      <w:r>
        <w:t xml:space="preserve">(4) Die Bundesanstalt informiert die Europäische Bankenaufsichtsbehörde, die nach Maßgabe des in Artikel 19 der Verordnung (EU) Nr. 1093/2010 festgelegten Verfahrens tätig wird, unverzüglich über eine nach Absatz 1 und Absatz 3 getroffene Entscheidung unter Hinweis auf die Geltung der Titel VII und VIII der Richtlinie 2013/36/EU.</w:t>
      </w:r>
    </w:p>
    <w:p>
      <w:r>
        <w:rPr>
          <w:color w:val="555555"/>
          <w:sz w:val="17"/>
        </w:rPr>
        <w:t xml:space="preserve">Zitiervorschlag: § 8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