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78b WpIG — Ausnahmen von der Erlaubnispflicht nach § 15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DLT-Marktinfrastrukturen im Sinne des Artikels 2 Nummer 5 der Verordnung (EU) 2022/858, denen eine besondere Genehmigung nach Artikel 8 oder Artikel 10 der Verordnung (EU) 2022/858 erteilt wurde, benötigen keine weitere Erlaubnis nach § 15, soweit die erbrachte Wertpapierdienstleistung von der besonderen Genehmigung umfasst ist.</w:t>
      </w:r>
    </w:p>
    <w:p>
      <w:r>
        <w:t xml:space="preserve">(2) Privatkunden im Sinne des § 67 Absatz 3 des Wertpapierhandelsgesetzes, die aufgrund einer Ausnahme nach Artikel 4 Absatz 2 der Verordnung (EU) 2022/858 als Mitglied oder Teilnehmer eines multilateralen DLT-Handelssystems im Sinne des Artikels 2 Nummer 6 der Verordnung (EU) 2022/858 oder eines DLT-Handels- und Abwicklungssystems im Sinne des Artikels 2 Nummer 10 der Verordnung (EU) 2022/858 das Eigengeschäft betreiben, benötigen hierfür keine Erlaubnis nach § 15 Absatz 4 Satz 1.</w:t>
      </w:r>
    </w:p>
    <w:p>
      <w:r>
        <w:rPr>
          <w:color w:val="555555"/>
          <w:sz w:val="17"/>
        </w:rPr>
        <w:t xml:space="preserve">Zitiervorschlag: § 78b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https://recht.nulegal.eu/gesetze/WpIG/78b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