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WpIG — Grenzüberschreitender Dienstleistungsverkehr durch inländische Wertpapierinstitute</w:t>
      </w:r>
    </w:p>
    <w:p>
      <w:r>
        <w:rPr>
          <w:color w:val="555555"/>
          <w:sz w:val="18"/>
        </w:rPr>
        <w:t xml:space="preserve">Wertpapierinstitutsgesetz</w:t>
      </w:r>
    </w:p>
    <w:p>
      <w:r>
        <w:rPr>
          <w:color w:val="555555"/>
          <w:sz w:val="18"/>
        </w:rPr>
        <w:t xml:space="preserve">Stand: 14.03.2026 (konsolidierte Textfassung, kein amtliches Inkrafttretensdatum)</w:t>
      </w:r>
    </w:p>
    <w:p>
      <w:r>
        <w:t xml:space="preserve">(1) Ein Wertpapierinstitut, das beabsichtigt, Wertpapierdienstleistungen grenzüberschreitend in einem anderen Vertragsstaat anzubieten, hat dies der Bundesanstalt und der Deutschen Bundesbank unverzüglich anzuzeigen. Die Anzeige muss enthalten:</w:t>
      </w:r>
    </w:p>
    <w:p>
      <w:pPr>
        <w:ind w:left="420"/>
      </w:pPr>
      <w:r>
        <w:t xml:space="preserve">1. die Angabe des Mitgliedstaates, in dem die grenzüberschreitende Dienstleistung erbracht werden soll,</w:t>
      </w:r>
    </w:p>
    <w:p>
      <w:pPr>
        <w:ind w:left="420"/>
      </w:pPr>
      <w:r>
        <w:t xml:space="preserve">2. einen Geschäftsplan mit Angabe der beabsichtigten Tätigkeiten und</w:t>
      </w:r>
    </w:p>
    <w:p>
      <w:pPr>
        <w:ind w:left="420"/>
      </w:pPr>
      <w:r>
        <w:t xml:space="preserve">3. die Angabe, ob in dem Vertragsstaat, in dem die grenzüberschreitende Dienstleistung erbracht werden soll, vertraglich gebundene Vermittler, die ihren Sitz oder gewöhnlichen Aufenthalt im Inland haben, für die grenzüberschreitende Dienstleistung herangezogen werden sollen, sowie deren Namen.</w:t>
      </w:r>
    </w:p>
    <w:p>
      <w:r>
        <w:t xml:space="preserve">(2) Wertpapiernebendienstleistungen dürfen nur in Verbindung mit mindestens einer Wertpapierdienstleistung angezeigt werden. Nähere Bestimmungen ergeben sich aus der Delegierten Verordnung (EU) 2017/1018 und der Durchführungsverordnung (EU) 2017/2382.</w:t>
      </w:r>
    </w:p>
    <w:p>
      <w:r>
        <w:t xml:space="preserve">(3) Die Bundesanstalt leitet diese Angaben innerhalb eines Monats nach Erhalt an die zuständige Stelle des Aufnahmevertragsstaates weiter. Das Wertpapierinstitut kann dann im Aufnahmemitgliedstaat die betreffenden Wertpapierdienstleistungen und Anlagetätigkeiten erbringen.</w:t>
      </w:r>
    </w:p>
    <w:p>
      <w:r>
        <w:t xml:space="preserve">(4) Beabsichtigt der Betreiber eines multilateralen oder organisierten Handelssystems, Handelsteilnehmern in anderen Staaten einen unmittelbaren Zugang zu seinem Handelssystem zu gewähren und ihnen das Handeln an seinen Märkten zu ermöglichen, hat er dies der Bundesanstalt anzuzeigen, sofern es sich um die erstmalige Zugangsgewährung an einen Handelsteilnehmer in dem betreffenden Staat handelt. Die Bundesanstalt unterrichtet die zuständigen Stellen des Aufnahmevertragsstaates innerhalb eines Monats nach Eingang der Anzeige von dieser Absicht. Der Betreiber hat der Bundesanstalt auf Anfrage die Namen der zugelassenen Handelsteilnehmer aus diesem Staat zu nennen. Auf Ersuchen der zuständigen Behörde im Aufnahmevertragsstaat teilt ihr die Bundesanstalt innerhalb einer angemessenen Frist diese Angaben mit.</w:t>
      </w:r>
    </w:p>
    <w:p>
      <w:r>
        <w:rPr>
          <w:color w:val="555555"/>
          <w:sz w:val="17"/>
        </w:rPr>
        <w:t xml:space="preserve">Zitiervorschlag: § 71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